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08C7" w14:textId="77777777" w:rsidR="00953126" w:rsidRPr="00A93F52" w:rsidRDefault="00D14598" w:rsidP="00953126">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A93F52">
        <w:rPr>
          <w:b/>
          <w:sz w:val="28"/>
          <w:szCs w:val="28"/>
          <w:lang w:val="lv-LV"/>
        </w:rPr>
        <w:t>M</w:t>
      </w:r>
      <w:r w:rsidR="00953126" w:rsidRPr="00A93F52">
        <w:rPr>
          <w:b/>
          <w:sz w:val="28"/>
          <w:szCs w:val="28"/>
          <w:lang w:val="lv-LV"/>
        </w:rPr>
        <w:t>inistru kabineta noteikum</w:t>
      </w:r>
      <w:r w:rsidR="00877C4B" w:rsidRPr="00A93F52">
        <w:rPr>
          <w:b/>
          <w:sz w:val="28"/>
          <w:szCs w:val="28"/>
          <w:lang w:val="lv-LV"/>
        </w:rPr>
        <w:t>u</w:t>
      </w:r>
      <w:r w:rsidR="00953126" w:rsidRPr="00A93F52">
        <w:rPr>
          <w:b/>
          <w:sz w:val="28"/>
          <w:szCs w:val="28"/>
          <w:lang w:val="lv-LV"/>
        </w:rPr>
        <w:t xml:space="preserve"> </w:t>
      </w:r>
      <w:r w:rsidR="005358E8" w:rsidRPr="00A93F52">
        <w:rPr>
          <w:b/>
          <w:sz w:val="28"/>
          <w:szCs w:val="28"/>
          <w:lang w:val="lv-LV"/>
        </w:rPr>
        <w:t>projekta</w:t>
      </w:r>
    </w:p>
    <w:p w14:paraId="6DEDAD28" w14:textId="77777777" w:rsidR="00CB1045" w:rsidRPr="00A93F52" w:rsidRDefault="00877C4B" w:rsidP="00953126">
      <w:pPr>
        <w:ind w:firstLine="720"/>
        <w:jc w:val="center"/>
        <w:rPr>
          <w:b/>
          <w:bCs/>
          <w:sz w:val="28"/>
          <w:szCs w:val="28"/>
          <w:lang w:val="lv-LV"/>
        </w:rPr>
      </w:pPr>
      <w:r w:rsidRPr="00A93F52">
        <w:rPr>
          <w:b/>
          <w:sz w:val="28"/>
          <w:szCs w:val="28"/>
          <w:lang w:val="lv-LV"/>
        </w:rPr>
        <w:t>„</w:t>
      </w:r>
      <w:r w:rsidR="00EF722B" w:rsidRPr="00A93F52">
        <w:rPr>
          <w:b/>
          <w:sz w:val="28"/>
          <w:szCs w:val="28"/>
          <w:lang w:val="lv-LV"/>
        </w:rPr>
        <w:t>Noteikumi par Latvijas būvnormatīvu LBN 261-15 „Ēku iekšējā elektroinstalācija”</w:t>
      </w:r>
      <w:r w:rsidRPr="00A93F52">
        <w:rPr>
          <w:b/>
          <w:sz w:val="28"/>
          <w:szCs w:val="28"/>
          <w:lang w:val="lv-LV"/>
        </w:rPr>
        <w:t>”</w:t>
      </w:r>
      <w:r w:rsidR="00953126" w:rsidRPr="00A93F52">
        <w:rPr>
          <w:b/>
          <w:sz w:val="28"/>
          <w:szCs w:val="28"/>
          <w:lang w:val="lv-LV"/>
        </w:rPr>
        <w:t xml:space="preserve"> </w:t>
      </w:r>
      <w:r w:rsidR="00CB1045" w:rsidRPr="00A93F52">
        <w:rPr>
          <w:b/>
          <w:sz w:val="28"/>
          <w:szCs w:val="28"/>
          <w:lang w:val="lv-LV"/>
        </w:rPr>
        <w:t xml:space="preserve">sākotnējās ietekmes novērtējuma </w:t>
      </w:r>
      <w:smartTag w:uri="schemas-tilde-lv/tildestengine" w:element="veidnes">
        <w:smartTagPr>
          <w:attr w:name="text" w:val="ziņojums"/>
          <w:attr w:name="baseform" w:val="ziņojums"/>
          <w:attr w:name="id" w:val="-1"/>
        </w:smartTagPr>
        <w:r w:rsidR="00CB1045" w:rsidRPr="00A93F52">
          <w:rPr>
            <w:b/>
            <w:sz w:val="28"/>
            <w:szCs w:val="28"/>
            <w:lang w:val="lv-LV"/>
          </w:rPr>
          <w:t>ziņojums</w:t>
        </w:r>
      </w:smartTag>
      <w:r w:rsidR="00CB1045" w:rsidRPr="00A93F52">
        <w:rPr>
          <w:b/>
          <w:sz w:val="28"/>
          <w:szCs w:val="28"/>
          <w:lang w:val="lv-LV"/>
        </w:rPr>
        <w:t xml:space="preserve"> (</w:t>
      </w:r>
      <w:r w:rsidR="00CB1045" w:rsidRPr="00A93F52">
        <w:rPr>
          <w:b/>
          <w:bCs/>
          <w:sz w:val="28"/>
          <w:szCs w:val="28"/>
          <w:lang w:val="lv-LV"/>
        </w:rPr>
        <w:t>anotācija)</w:t>
      </w:r>
      <w:bookmarkEnd w:id="0"/>
      <w:bookmarkEnd w:id="1"/>
      <w:bookmarkEnd w:id="2"/>
      <w:bookmarkEnd w:id="3"/>
      <w:bookmarkEnd w:id="4"/>
    </w:p>
    <w:p w14:paraId="5218C2D4" w14:textId="77777777" w:rsidR="00CB1045" w:rsidRPr="00A93F52" w:rsidRDefault="00CB1045" w:rsidP="00CB1045">
      <w:pPr>
        <w:tabs>
          <w:tab w:val="left" w:pos="7230"/>
        </w:tabs>
        <w:rPr>
          <w:sz w:val="28"/>
          <w:szCs w:val="28"/>
          <w:lang w:val="lv-LV"/>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361"/>
      </w:tblGrid>
      <w:tr w:rsidR="00CB1045" w:rsidRPr="00972EA8" w14:paraId="152253FE" w14:textId="77777777" w:rsidTr="005D1EE6">
        <w:tc>
          <w:tcPr>
            <w:tcW w:w="9062" w:type="dxa"/>
            <w:gridSpan w:val="3"/>
            <w:vAlign w:val="center"/>
          </w:tcPr>
          <w:p w14:paraId="1AF71D0E" w14:textId="77777777" w:rsidR="00CB1045" w:rsidRPr="00972EA8" w:rsidRDefault="00CB1045" w:rsidP="00B96DF3">
            <w:pPr>
              <w:jc w:val="center"/>
              <w:rPr>
                <w:sz w:val="27"/>
                <w:szCs w:val="27"/>
                <w:lang w:val="lv-LV"/>
              </w:rPr>
            </w:pPr>
            <w:r w:rsidRPr="00972EA8">
              <w:rPr>
                <w:b/>
                <w:sz w:val="27"/>
                <w:szCs w:val="27"/>
                <w:lang w:val="lv-LV"/>
              </w:rPr>
              <w:t>I. Tiesību akta projekta izstrādes nepieciešamība</w:t>
            </w:r>
          </w:p>
        </w:tc>
      </w:tr>
      <w:tr w:rsidR="00CB1045" w:rsidRPr="00972EA8" w14:paraId="20976E83" w14:textId="77777777" w:rsidTr="005D1EE6">
        <w:trPr>
          <w:trHeight w:val="439"/>
        </w:trPr>
        <w:tc>
          <w:tcPr>
            <w:tcW w:w="524" w:type="dxa"/>
          </w:tcPr>
          <w:p w14:paraId="60FCE9B3" w14:textId="77777777" w:rsidR="00CB1045" w:rsidRPr="00972EA8" w:rsidRDefault="00CB1045" w:rsidP="00B96DF3">
            <w:pPr>
              <w:ind w:left="57" w:right="57"/>
              <w:rPr>
                <w:sz w:val="27"/>
                <w:szCs w:val="27"/>
                <w:lang w:val="lv-LV"/>
              </w:rPr>
            </w:pPr>
            <w:r w:rsidRPr="00972EA8">
              <w:rPr>
                <w:sz w:val="27"/>
                <w:szCs w:val="27"/>
                <w:lang w:val="lv-LV"/>
              </w:rPr>
              <w:t> 1.</w:t>
            </w:r>
          </w:p>
        </w:tc>
        <w:tc>
          <w:tcPr>
            <w:tcW w:w="3177" w:type="dxa"/>
          </w:tcPr>
          <w:p w14:paraId="619E5B3B" w14:textId="77777777" w:rsidR="00CB1045" w:rsidRPr="00972EA8" w:rsidRDefault="00CB1045" w:rsidP="00B96DF3">
            <w:pPr>
              <w:ind w:left="57" w:right="57"/>
              <w:rPr>
                <w:sz w:val="27"/>
                <w:szCs w:val="27"/>
                <w:lang w:val="lv-LV"/>
              </w:rPr>
            </w:pPr>
            <w:r w:rsidRPr="00972EA8">
              <w:rPr>
                <w:sz w:val="27"/>
                <w:szCs w:val="27"/>
                <w:lang w:val="lv-LV"/>
              </w:rPr>
              <w:t>Pamatojums</w:t>
            </w:r>
          </w:p>
        </w:tc>
        <w:tc>
          <w:tcPr>
            <w:tcW w:w="5361" w:type="dxa"/>
          </w:tcPr>
          <w:p w14:paraId="131ED328" w14:textId="77777777" w:rsidR="00CB1045" w:rsidRPr="00972EA8" w:rsidRDefault="00877C4B" w:rsidP="00E0499D">
            <w:pPr>
              <w:ind w:left="66" w:right="140"/>
              <w:jc w:val="both"/>
              <w:rPr>
                <w:sz w:val="27"/>
                <w:szCs w:val="27"/>
              </w:rPr>
            </w:pPr>
            <w:r w:rsidRPr="00972EA8">
              <w:rPr>
                <w:rFonts w:eastAsia="SimSun"/>
                <w:sz w:val="27"/>
                <w:szCs w:val="27"/>
                <w:lang w:val="lv-LV" w:eastAsia="zh-CN"/>
              </w:rPr>
              <w:t xml:space="preserve">Ministru kabineta </w:t>
            </w:r>
            <w:r w:rsidR="00665D97" w:rsidRPr="00972EA8">
              <w:rPr>
                <w:rFonts w:eastAsia="SimSun"/>
                <w:sz w:val="27"/>
                <w:szCs w:val="27"/>
                <w:lang w:val="lv-LV" w:eastAsia="zh-CN"/>
              </w:rPr>
              <w:t>noteikumu projekts „</w:t>
            </w:r>
            <w:r w:rsidR="00A93F52" w:rsidRPr="00972EA8">
              <w:rPr>
                <w:rFonts w:eastAsia="SimSun"/>
                <w:sz w:val="27"/>
                <w:szCs w:val="27"/>
                <w:lang w:val="lv-LV" w:eastAsia="zh-CN"/>
              </w:rPr>
              <w:t>Noteikumi par Latvijas būvnormatīvu LBN 261-15 „Ēku iekšējā elektroinstalācija</w:t>
            </w:r>
            <w:r w:rsidRPr="00972EA8">
              <w:rPr>
                <w:rFonts w:eastAsia="SimSun"/>
                <w:sz w:val="27"/>
                <w:szCs w:val="27"/>
                <w:lang w:val="lv-LV" w:eastAsia="zh-CN"/>
              </w:rPr>
              <w:t xml:space="preserve">”” (turpmāk </w:t>
            </w:r>
            <w:r w:rsidR="00CD5814" w:rsidRPr="00972EA8">
              <w:rPr>
                <w:rFonts w:eastAsia="SimSun"/>
                <w:sz w:val="27"/>
                <w:szCs w:val="27"/>
                <w:lang w:val="lv-LV" w:eastAsia="zh-CN"/>
              </w:rPr>
              <w:t xml:space="preserve">– </w:t>
            </w:r>
            <w:r w:rsidRPr="00972EA8">
              <w:rPr>
                <w:rFonts w:eastAsia="SimSun"/>
                <w:sz w:val="27"/>
                <w:szCs w:val="27"/>
                <w:lang w:val="lv-LV" w:eastAsia="zh-CN"/>
              </w:rPr>
              <w:t xml:space="preserve">noteikumu projekts) tiek izdots saskaņā ar </w:t>
            </w:r>
            <w:r w:rsidR="00A93F52" w:rsidRPr="00972EA8">
              <w:rPr>
                <w:rFonts w:eastAsia="SimSun"/>
                <w:sz w:val="27"/>
                <w:szCs w:val="27"/>
                <w:lang w:val="lv-LV" w:eastAsia="zh-CN"/>
              </w:rPr>
              <w:t>07.09.</w:t>
            </w:r>
            <w:r w:rsidR="009D6DB6" w:rsidRPr="00972EA8">
              <w:rPr>
                <w:rFonts w:eastAsia="SimSun"/>
                <w:sz w:val="27"/>
                <w:szCs w:val="27"/>
                <w:lang w:val="lv-LV" w:eastAsia="zh-CN"/>
              </w:rPr>
              <w:t>2013. pieņemtā Būvniecības likuma</w:t>
            </w:r>
            <w:r w:rsidRPr="00972EA8">
              <w:rPr>
                <w:rFonts w:eastAsia="SimSun"/>
                <w:sz w:val="27"/>
                <w:szCs w:val="27"/>
                <w:lang w:val="lv-LV" w:eastAsia="zh-CN"/>
              </w:rPr>
              <w:t xml:space="preserve"> (turpmāk – likums)</w:t>
            </w:r>
            <w:r w:rsidR="009D6DB6" w:rsidRPr="00972EA8">
              <w:rPr>
                <w:rFonts w:eastAsia="SimSun"/>
                <w:sz w:val="27"/>
                <w:szCs w:val="27"/>
                <w:lang w:val="lv-LV" w:eastAsia="zh-CN"/>
              </w:rPr>
              <w:t xml:space="preserve"> 5.</w:t>
            </w:r>
            <w:r w:rsidR="00A93F52" w:rsidRPr="00972EA8">
              <w:rPr>
                <w:rFonts w:eastAsia="SimSun"/>
                <w:sz w:val="27"/>
                <w:szCs w:val="27"/>
                <w:lang w:val="lv-LV" w:eastAsia="zh-CN"/>
              </w:rPr>
              <w:t> </w:t>
            </w:r>
            <w:r w:rsidR="009D6DB6" w:rsidRPr="00972EA8">
              <w:rPr>
                <w:rFonts w:eastAsia="SimSun"/>
                <w:sz w:val="27"/>
                <w:szCs w:val="27"/>
                <w:lang w:val="lv-LV" w:eastAsia="zh-CN"/>
              </w:rPr>
              <w:t>panta pirmās daļas 3.</w:t>
            </w:r>
            <w:r w:rsidR="00A93F52" w:rsidRPr="00972EA8">
              <w:rPr>
                <w:rFonts w:eastAsia="SimSun"/>
                <w:sz w:val="27"/>
                <w:szCs w:val="27"/>
                <w:lang w:val="lv-LV" w:eastAsia="zh-CN"/>
              </w:rPr>
              <w:t> </w:t>
            </w:r>
            <w:r w:rsidRPr="00972EA8">
              <w:rPr>
                <w:rFonts w:eastAsia="SimSun"/>
                <w:sz w:val="27"/>
                <w:szCs w:val="27"/>
                <w:lang w:val="lv-LV" w:eastAsia="zh-CN"/>
              </w:rPr>
              <w:t>p</w:t>
            </w:r>
            <w:r w:rsidR="009D6DB6" w:rsidRPr="00972EA8">
              <w:rPr>
                <w:rFonts w:eastAsia="SimSun"/>
                <w:sz w:val="27"/>
                <w:szCs w:val="27"/>
                <w:lang w:val="lv-LV" w:eastAsia="zh-CN"/>
              </w:rPr>
              <w:t>unkt</w:t>
            </w:r>
            <w:r w:rsidRPr="00972EA8">
              <w:rPr>
                <w:rFonts w:eastAsia="SimSun"/>
                <w:sz w:val="27"/>
                <w:szCs w:val="27"/>
                <w:lang w:val="lv-LV" w:eastAsia="zh-CN"/>
              </w:rPr>
              <w:t xml:space="preserve">u, kā arī, lai </w:t>
            </w:r>
            <w:r w:rsidRPr="00972EA8">
              <w:rPr>
                <w:sz w:val="27"/>
                <w:szCs w:val="27"/>
                <w:lang w:val="lv-LV"/>
              </w:rPr>
              <w:t>nodrošinātu likuma pārejas noteikumu 2.</w:t>
            </w:r>
            <w:r w:rsidR="00A93F52" w:rsidRPr="00972EA8">
              <w:rPr>
                <w:sz w:val="27"/>
                <w:szCs w:val="27"/>
                <w:lang w:val="lv-LV"/>
              </w:rPr>
              <w:t> </w:t>
            </w:r>
            <w:r w:rsidRPr="00972EA8">
              <w:rPr>
                <w:sz w:val="27"/>
                <w:szCs w:val="27"/>
                <w:lang w:val="lv-LV"/>
              </w:rPr>
              <w:t>punkta izpildi</w:t>
            </w:r>
            <w:r w:rsidR="00A93F52" w:rsidRPr="00972EA8">
              <w:rPr>
                <w:sz w:val="27"/>
                <w:szCs w:val="27"/>
                <w:lang w:val="lv-LV"/>
              </w:rPr>
              <w:t>.</w:t>
            </w:r>
          </w:p>
        </w:tc>
      </w:tr>
      <w:tr w:rsidR="00CB1045" w:rsidRPr="00972EA8" w14:paraId="202B0EA9" w14:textId="77777777" w:rsidTr="005D1EE6">
        <w:trPr>
          <w:trHeight w:val="424"/>
        </w:trPr>
        <w:tc>
          <w:tcPr>
            <w:tcW w:w="524" w:type="dxa"/>
          </w:tcPr>
          <w:p w14:paraId="6C776E48" w14:textId="77777777" w:rsidR="00CB1045" w:rsidRPr="00972EA8" w:rsidRDefault="00CB1045" w:rsidP="00B96DF3">
            <w:pPr>
              <w:ind w:left="57" w:right="57"/>
              <w:rPr>
                <w:sz w:val="27"/>
                <w:szCs w:val="27"/>
                <w:lang w:val="lv-LV"/>
              </w:rPr>
            </w:pPr>
            <w:r w:rsidRPr="00972EA8">
              <w:rPr>
                <w:sz w:val="27"/>
                <w:szCs w:val="27"/>
                <w:lang w:val="lv-LV"/>
              </w:rPr>
              <w:t> 2.</w:t>
            </w:r>
          </w:p>
        </w:tc>
        <w:tc>
          <w:tcPr>
            <w:tcW w:w="3177" w:type="dxa"/>
          </w:tcPr>
          <w:p w14:paraId="3CCEA011" w14:textId="77777777" w:rsidR="00CB1045" w:rsidRPr="00972EA8" w:rsidRDefault="00CB1045" w:rsidP="00B96DF3">
            <w:pPr>
              <w:ind w:left="57" w:right="57"/>
              <w:rPr>
                <w:sz w:val="27"/>
                <w:szCs w:val="27"/>
                <w:lang w:val="lv-LV"/>
              </w:rPr>
            </w:pPr>
            <w:r w:rsidRPr="00972EA8">
              <w:rPr>
                <w:sz w:val="27"/>
                <w:szCs w:val="27"/>
                <w:lang w:val="lv-LV"/>
              </w:rPr>
              <w:t>Pašreizējā situācija un problēmas</w:t>
            </w:r>
            <w:r w:rsidR="003444A9" w:rsidRPr="00972EA8">
              <w:rPr>
                <w:sz w:val="27"/>
                <w:szCs w:val="27"/>
                <w:lang w:val="lv-LV"/>
              </w:rPr>
              <w:t xml:space="preserve"> kuru risināšanai tiesību akta projekts izstrādāts, tiesiskā regulējuma mērķis un būtība</w:t>
            </w:r>
          </w:p>
        </w:tc>
        <w:tc>
          <w:tcPr>
            <w:tcW w:w="5361" w:type="dxa"/>
          </w:tcPr>
          <w:p w14:paraId="5DDF72D5" w14:textId="08D2BCF0" w:rsidR="009D73EF" w:rsidRPr="00972EA8" w:rsidRDefault="009D73EF" w:rsidP="007E099F">
            <w:pPr>
              <w:pStyle w:val="naiskr"/>
              <w:ind w:left="57" w:right="57"/>
              <w:jc w:val="both"/>
              <w:rPr>
                <w:sz w:val="27"/>
                <w:szCs w:val="27"/>
              </w:rPr>
            </w:pPr>
            <w:r w:rsidRPr="00972EA8">
              <w:rPr>
                <w:sz w:val="27"/>
                <w:szCs w:val="27"/>
              </w:rPr>
              <w:t xml:space="preserve">Atbilstoši likuma pārejas noteikumu 2. punktam Latvijas būvnormatīvs LBN 261-07 „Ēku iekšējo elektroinstalāciju izbūve” ir piemērojams </w:t>
            </w:r>
            <w:r w:rsidR="009A67F6" w:rsidRPr="00972EA8">
              <w:rPr>
                <w:sz w:val="27"/>
                <w:szCs w:val="27"/>
              </w:rPr>
              <w:t xml:space="preserve">ne ilgāk kā </w:t>
            </w:r>
            <w:r w:rsidRPr="00972EA8">
              <w:rPr>
                <w:sz w:val="27"/>
                <w:szCs w:val="27"/>
              </w:rPr>
              <w:t xml:space="preserve">līdz </w:t>
            </w:r>
            <w:r w:rsidR="009A67F6" w:rsidRPr="00972EA8">
              <w:rPr>
                <w:sz w:val="27"/>
                <w:szCs w:val="27"/>
              </w:rPr>
              <w:t>2015. gada 1. jūlijam.</w:t>
            </w:r>
            <w:r w:rsidRPr="00972EA8">
              <w:rPr>
                <w:sz w:val="27"/>
                <w:szCs w:val="27"/>
              </w:rPr>
              <w:t xml:space="preserve"> Līdz ar to</w:t>
            </w:r>
            <w:r w:rsidR="00677E3B" w:rsidRPr="00972EA8">
              <w:rPr>
                <w:sz w:val="27"/>
                <w:szCs w:val="27"/>
              </w:rPr>
              <w:t>,</w:t>
            </w:r>
            <w:r w:rsidRPr="00972EA8">
              <w:rPr>
                <w:sz w:val="27"/>
                <w:szCs w:val="27"/>
              </w:rPr>
              <w:t xml:space="preserve"> līdz š</w:t>
            </w:r>
            <w:r w:rsidR="00E079CE" w:rsidRPr="00972EA8">
              <w:rPr>
                <w:sz w:val="27"/>
                <w:szCs w:val="27"/>
              </w:rPr>
              <w:t>i</w:t>
            </w:r>
            <w:r w:rsidRPr="00972EA8">
              <w:rPr>
                <w:sz w:val="27"/>
                <w:szCs w:val="27"/>
              </w:rPr>
              <w:t xml:space="preserve">m laikam ir nepieciešams izdot jaunus </w:t>
            </w:r>
            <w:r w:rsidR="00677E3B" w:rsidRPr="00972EA8">
              <w:rPr>
                <w:sz w:val="27"/>
                <w:szCs w:val="27"/>
              </w:rPr>
              <w:t xml:space="preserve">atbilstošus būvnormatīvus, lai noteiktu tehniskās prasības attiecībā uz </w:t>
            </w:r>
            <w:r w:rsidR="00677E3B" w:rsidRPr="00972EA8">
              <w:rPr>
                <w:rFonts w:eastAsia="SimSun"/>
                <w:sz w:val="27"/>
                <w:szCs w:val="27"/>
                <w:lang w:eastAsia="zh-CN"/>
              </w:rPr>
              <w:t>ēku iekšēj</w:t>
            </w:r>
            <w:r w:rsidR="00C3592E" w:rsidRPr="00972EA8">
              <w:rPr>
                <w:rFonts w:eastAsia="SimSun"/>
                <w:sz w:val="27"/>
                <w:szCs w:val="27"/>
                <w:lang w:eastAsia="zh-CN"/>
              </w:rPr>
              <w:t>o</w:t>
            </w:r>
            <w:r w:rsidR="00677E3B" w:rsidRPr="00972EA8">
              <w:rPr>
                <w:rFonts w:eastAsia="SimSun"/>
                <w:sz w:val="27"/>
                <w:szCs w:val="27"/>
                <w:lang w:eastAsia="zh-CN"/>
              </w:rPr>
              <w:t xml:space="preserve"> elektroinstalācij</w:t>
            </w:r>
            <w:r w:rsidR="00C3592E" w:rsidRPr="00972EA8">
              <w:rPr>
                <w:rFonts w:eastAsia="SimSun"/>
                <w:sz w:val="27"/>
                <w:szCs w:val="27"/>
                <w:lang w:eastAsia="zh-CN"/>
              </w:rPr>
              <w:t>u</w:t>
            </w:r>
            <w:r w:rsidR="00677E3B" w:rsidRPr="00972EA8">
              <w:rPr>
                <w:rFonts w:eastAsia="SimSun"/>
                <w:sz w:val="27"/>
                <w:szCs w:val="27"/>
                <w:lang w:eastAsia="zh-CN"/>
              </w:rPr>
              <w:t>.</w:t>
            </w:r>
          </w:p>
          <w:p w14:paraId="60453A3B" w14:textId="629FE514" w:rsidR="009D73EF" w:rsidRPr="00972EA8" w:rsidRDefault="00CD5814" w:rsidP="00677E3B">
            <w:pPr>
              <w:pStyle w:val="naiskr"/>
              <w:spacing w:before="0" w:after="0"/>
              <w:ind w:left="57" w:right="57"/>
              <w:jc w:val="both"/>
              <w:rPr>
                <w:color w:val="000000" w:themeColor="text1"/>
                <w:sz w:val="27"/>
                <w:szCs w:val="27"/>
              </w:rPr>
            </w:pPr>
            <w:r w:rsidRPr="00972EA8">
              <w:rPr>
                <w:sz w:val="27"/>
                <w:szCs w:val="27"/>
              </w:rPr>
              <w:t>Noteikumu projekts</w:t>
            </w:r>
            <w:r w:rsidR="001B00AD" w:rsidRPr="00972EA8">
              <w:rPr>
                <w:sz w:val="27"/>
                <w:szCs w:val="27"/>
              </w:rPr>
              <w:t xml:space="preserve"> </w:t>
            </w:r>
            <w:r w:rsidR="009D73EF" w:rsidRPr="00972EA8">
              <w:rPr>
                <w:sz w:val="27"/>
                <w:szCs w:val="27"/>
              </w:rPr>
              <w:t xml:space="preserve">apstiprina būvnormatīvu, ar ko nosaka prasības </w:t>
            </w:r>
            <w:r w:rsidR="00677E3B" w:rsidRPr="00972EA8">
              <w:rPr>
                <w:sz w:val="27"/>
                <w:szCs w:val="27"/>
              </w:rPr>
              <w:t xml:space="preserve">ēku iekšējo elektroinstalāciju, proti, </w:t>
            </w:r>
            <w:r w:rsidR="009D73EF" w:rsidRPr="00972EA8">
              <w:rPr>
                <w:sz w:val="27"/>
                <w:szCs w:val="27"/>
              </w:rPr>
              <w:t xml:space="preserve">elektroietaišu (līdz 1 kV) projektēšanai un ierīkošanai, lai nodrošinātu cilvēku un vides aizsardzību pret elektriskās strāvas, zibens strāvas un zibens izlādes rezultātā radušās pārsprieguma strāvas triecieniem, ugunsgrēku, sprādzieniem (eksplozijām), apdegumiem un elektriski darbināmu mašīnu negaidītu mehānisku kustību, kā arī lai nodrošinātu elektroietaišu funkcionēšanu atbilstoši paredzētajam mērķim. </w:t>
            </w:r>
            <w:r w:rsidR="006E7EC2" w:rsidRPr="00972EA8">
              <w:rPr>
                <w:sz w:val="27"/>
                <w:szCs w:val="27"/>
              </w:rPr>
              <w:t xml:space="preserve">Būvnormatīvā, salīdzinājumā ar līdzšinējo normatīvo regulējumu, ir precizēta terminoloģija un norāde par piemērojamo standarta redakciju. Tas </w:t>
            </w:r>
            <w:r w:rsidR="009D73EF" w:rsidRPr="00972EA8">
              <w:rPr>
                <w:sz w:val="27"/>
                <w:szCs w:val="27"/>
              </w:rPr>
              <w:t xml:space="preserve">neietver detalizētas tehniskās prasības, kas mainās tehnikas attīstības radīto modifikāciju dēļ. Tāpat jānorāda, ka </w:t>
            </w:r>
            <w:r w:rsidR="00677E3B" w:rsidRPr="00972EA8">
              <w:rPr>
                <w:sz w:val="27"/>
                <w:szCs w:val="27"/>
              </w:rPr>
              <w:t>b</w:t>
            </w:r>
            <w:r w:rsidR="009D73EF" w:rsidRPr="00972EA8">
              <w:rPr>
                <w:color w:val="000000" w:themeColor="text1"/>
                <w:sz w:val="27"/>
                <w:szCs w:val="27"/>
              </w:rPr>
              <w:t>ūvnormatīvs attiecas uz:</w:t>
            </w:r>
            <w:r w:rsidR="00677E3B" w:rsidRPr="00972EA8">
              <w:rPr>
                <w:color w:val="000000" w:themeColor="text1"/>
                <w:sz w:val="27"/>
                <w:szCs w:val="27"/>
              </w:rPr>
              <w:t xml:space="preserve"> </w:t>
            </w:r>
            <w:r w:rsidR="009D73EF" w:rsidRPr="00972EA8">
              <w:rPr>
                <w:color w:val="000000" w:themeColor="text1"/>
                <w:sz w:val="27"/>
                <w:szCs w:val="27"/>
              </w:rPr>
              <w:t xml:space="preserve"> maiņstrāvas ķēdēm ar nominālo spriegumu līdz 1000 V (ieskaitot) vai līdzstrāvas ķēdēm ar nominālo spriegumu līdz 1500 V (ieskaitot);</w:t>
            </w:r>
            <w:r w:rsidR="00677E3B" w:rsidRPr="00972EA8">
              <w:rPr>
                <w:color w:val="000000" w:themeColor="text1"/>
                <w:sz w:val="27"/>
                <w:szCs w:val="27"/>
              </w:rPr>
              <w:t xml:space="preserve"> </w:t>
            </w:r>
            <w:r w:rsidR="009D73EF" w:rsidRPr="00972EA8">
              <w:rPr>
                <w:color w:val="000000" w:themeColor="text1"/>
                <w:sz w:val="27"/>
                <w:szCs w:val="27"/>
              </w:rPr>
              <w:t xml:space="preserve">aparātu iekšējai elektroinstalācijai nepiederošām ķēdēm, kuru spriegums ir lielāks </w:t>
            </w:r>
            <w:r w:rsidR="009D73EF" w:rsidRPr="00972EA8">
              <w:rPr>
                <w:color w:val="000000" w:themeColor="text1"/>
                <w:sz w:val="27"/>
                <w:szCs w:val="27"/>
              </w:rPr>
              <w:lastRenderedPageBreak/>
              <w:t>par 1000 V un kas ir daļa no ietaisēm, kuru barošanas maiņspriegums nepārsniedz 1000 V;</w:t>
            </w:r>
            <w:r w:rsidR="00677E3B" w:rsidRPr="00972EA8">
              <w:rPr>
                <w:color w:val="000000" w:themeColor="text1"/>
                <w:sz w:val="27"/>
                <w:szCs w:val="27"/>
              </w:rPr>
              <w:t xml:space="preserve"> </w:t>
            </w:r>
            <w:r w:rsidR="009D73EF" w:rsidRPr="00972EA8">
              <w:rPr>
                <w:color w:val="000000" w:themeColor="text1"/>
                <w:sz w:val="27"/>
                <w:szCs w:val="27"/>
              </w:rPr>
              <w:t>elektroinstalāciju, kas neietilpst ierīču sastāvā;</w:t>
            </w:r>
            <w:r w:rsidR="00677E3B" w:rsidRPr="00972EA8">
              <w:rPr>
                <w:color w:val="000000" w:themeColor="text1"/>
                <w:sz w:val="27"/>
                <w:szCs w:val="27"/>
              </w:rPr>
              <w:t xml:space="preserve"> </w:t>
            </w:r>
            <w:r w:rsidR="009D73EF" w:rsidRPr="00972EA8">
              <w:rPr>
                <w:color w:val="000000" w:themeColor="text1"/>
                <w:sz w:val="27"/>
                <w:szCs w:val="27"/>
              </w:rPr>
              <w:t>ārpus ēkām ierīkojamām elektroietaisēm;</w:t>
            </w:r>
            <w:r w:rsidR="00677E3B" w:rsidRPr="00972EA8">
              <w:rPr>
                <w:color w:val="000000" w:themeColor="text1"/>
                <w:sz w:val="27"/>
                <w:szCs w:val="27"/>
              </w:rPr>
              <w:t xml:space="preserve"> </w:t>
            </w:r>
            <w:r w:rsidR="009D73EF" w:rsidRPr="00972EA8">
              <w:rPr>
                <w:color w:val="000000" w:themeColor="text1"/>
                <w:sz w:val="27"/>
                <w:szCs w:val="27"/>
              </w:rPr>
              <w:t>fiksētām elektronisko sakaru, signalizācijas un vadības ķēdēm, izņemot aparātu iekšējo elektroinstalāciju;</w:t>
            </w:r>
            <w:r w:rsidR="00677E3B" w:rsidRPr="00972EA8">
              <w:rPr>
                <w:color w:val="000000" w:themeColor="text1"/>
                <w:sz w:val="27"/>
                <w:szCs w:val="27"/>
              </w:rPr>
              <w:t xml:space="preserve"> </w:t>
            </w:r>
            <w:r w:rsidR="009D73EF" w:rsidRPr="00972EA8">
              <w:rPr>
                <w:color w:val="000000" w:themeColor="text1"/>
                <w:sz w:val="27"/>
                <w:szCs w:val="27"/>
              </w:rPr>
              <w:t>ēku zibensaizsardzību un pārspriegumaizsardzību.</w:t>
            </w:r>
          </w:p>
          <w:p w14:paraId="5AD7D601" w14:textId="0B7E8258" w:rsidR="00677E3B" w:rsidRPr="00972EA8" w:rsidRDefault="00677E3B" w:rsidP="000421A9">
            <w:pPr>
              <w:pStyle w:val="naiskr"/>
              <w:spacing w:before="0" w:after="0"/>
              <w:ind w:left="57" w:right="57"/>
              <w:jc w:val="both"/>
              <w:rPr>
                <w:sz w:val="27"/>
                <w:szCs w:val="27"/>
              </w:rPr>
            </w:pPr>
            <w:r w:rsidRPr="00972EA8">
              <w:rPr>
                <w:sz w:val="27"/>
                <w:szCs w:val="27"/>
              </w:rPr>
              <w:t xml:space="preserve">Elektroietaises projektē, ierīko un pārbauda atbilstošs būvspeciālists, ja normatīvajos aktos nav noteikts </w:t>
            </w:r>
            <w:r w:rsidR="0000407E" w:rsidRPr="00972EA8">
              <w:rPr>
                <w:sz w:val="27"/>
                <w:szCs w:val="27"/>
              </w:rPr>
              <w:t>citādāk</w:t>
            </w:r>
            <w:r w:rsidRPr="00972EA8">
              <w:rPr>
                <w:sz w:val="27"/>
                <w:szCs w:val="27"/>
              </w:rPr>
              <w:t xml:space="preserve">, piemēram, </w:t>
            </w:r>
            <w:r w:rsidR="00823705" w:rsidRPr="00972EA8">
              <w:rPr>
                <w:sz w:val="27"/>
                <w:szCs w:val="27"/>
              </w:rPr>
              <w:t xml:space="preserve">no </w:t>
            </w:r>
            <w:r w:rsidRPr="00972EA8">
              <w:rPr>
                <w:sz w:val="27"/>
                <w:szCs w:val="27"/>
              </w:rPr>
              <w:t xml:space="preserve">Ministru kabineta </w:t>
            </w:r>
            <w:r w:rsidR="0000407E" w:rsidRPr="00972EA8">
              <w:rPr>
                <w:sz w:val="27"/>
                <w:szCs w:val="27"/>
              </w:rPr>
              <w:t>2014. gada 2. septembra</w:t>
            </w:r>
            <w:r w:rsidRPr="00972EA8">
              <w:rPr>
                <w:sz w:val="27"/>
                <w:szCs w:val="27"/>
              </w:rPr>
              <w:t xml:space="preserve"> noteikumu Nr.529 „Ēku būvnoteikumi” 107. punkt</w:t>
            </w:r>
            <w:r w:rsidR="00823705" w:rsidRPr="00972EA8">
              <w:rPr>
                <w:sz w:val="27"/>
                <w:szCs w:val="27"/>
              </w:rPr>
              <w:t>a</w:t>
            </w:r>
            <w:r w:rsidRPr="00972EA8">
              <w:rPr>
                <w:sz w:val="27"/>
                <w:szCs w:val="27"/>
              </w:rPr>
              <w:t xml:space="preserve"> </w:t>
            </w:r>
            <w:r w:rsidR="00823705" w:rsidRPr="00972EA8">
              <w:rPr>
                <w:sz w:val="27"/>
                <w:szCs w:val="27"/>
              </w:rPr>
              <w:t>izriet</w:t>
            </w:r>
            <w:r w:rsidRPr="00972EA8">
              <w:rPr>
                <w:sz w:val="27"/>
                <w:szCs w:val="27"/>
              </w:rPr>
              <w:t xml:space="preserve">, ka būvētājs jeb persona, </w:t>
            </w:r>
            <w:r w:rsidR="00823705" w:rsidRPr="00972EA8">
              <w:rPr>
                <w:sz w:val="27"/>
                <w:szCs w:val="27"/>
              </w:rPr>
              <w:t>kura</w:t>
            </w:r>
            <w:r w:rsidRPr="00972EA8">
              <w:rPr>
                <w:sz w:val="27"/>
                <w:szCs w:val="27"/>
              </w:rPr>
              <w:t xml:space="preserve"> </w:t>
            </w:r>
            <w:r w:rsidR="00823705" w:rsidRPr="00972EA8">
              <w:rPr>
                <w:sz w:val="27"/>
                <w:szCs w:val="27"/>
              </w:rPr>
              <w:t>nav</w:t>
            </w:r>
            <w:r w:rsidRPr="00972EA8">
              <w:rPr>
                <w:sz w:val="27"/>
                <w:szCs w:val="27"/>
              </w:rPr>
              <w:t xml:space="preserve"> atbilstošs būvspeciālists, savām vajadzībām </w:t>
            </w:r>
            <w:r w:rsidR="000421A9" w:rsidRPr="00972EA8">
              <w:rPr>
                <w:sz w:val="27"/>
                <w:szCs w:val="27"/>
              </w:rPr>
              <w:t>var būvē</w:t>
            </w:r>
            <w:r w:rsidR="0000407E" w:rsidRPr="00972EA8">
              <w:rPr>
                <w:sz w:val="27"/>
                <w:szCs w:val="27"/>
              </w:rPr>
              <w:t>t</w:t>
            </w:r>
            <w:r w:rsidR="000421A9" w:rsidRPr="00972EA8">
              <w:rPr>
                <w:sz w:val="27"/>
                <w:szCs w:val="27"/>
              </w:rPr>
              <w:t xml:space="preserve"> noteikta veida un apjoma ēkas, tai skaitā inženiertīklus šīs ēkas ekspluatācijas nodrošināšanai.</w:t>
            </w:r>
          </w:p>
          <w:p w14:paraId="2DAF901E" w14:textId="6F46B0FC" w:rsidR="005D1EE6" w:rsidRPr="00972EA8" w:rsidRDefault="005026B9" w:rsidP="004C1C96">
            <w:pPr>
              <w:pStyle w:val="naiskr"/>
              <w:ind w:left="57" w:right="57"/>
              <w:jc w:val="both"/>
              <w:rPr>
                <w:sz w:val="27"/>
                <w:szCs w:val="27"/>
              </w:rPr>
            </w:pPr>
            <w:r w:rsidRPr="00972EA8">
              <w:rPr>
                <w:sz w:val="27"/>
                <w:szCs w:val="27"/>
              </w:rPr>
              <w:t>A</w:t>
            </w:r>
            <w:r w:rsidR="00202544" w:rsidRPr="00972EA8">
              <w:rPr>
                <w:sz w:val="27"/>
                <w:szCs w:val="27"/>
              </w:rPr>
              <w:t xml:space="preserve">r </w:t>
            </w:r>
            <w:r w:rsidR="00A93F52" w:rsidRPr="00972EA8">
              <w:rPr>
                <w:sz w:val="27"/>
                <w:szCs w:val="27"/>
              </w:rPr>
              <w:t xml:space="preserve">noteikumu projekta </w:t>
            </w:r>
            <w:r w:rsidR="009801F3" w:rsidRPr="00972EA8">
              <w:rPr>
                <w:sz w:val="27"/>
                <w:szCs w:val="27"/>
              </w:rPr>
              <w:t>spēkā stāšanos</w:t>
            </w:r>
            <w:r w:rsidR="00A93F52" w:rsidRPr="00972EA8">
              <w:rPr>
                <w:sz w:val="27"/>
                <w:szCs w:val="27"/>
              </w:rPr>
              <w:t xml:space="preserve"> </w:t>
            </w:r>
            <w:r w:rsidR="002862C6" w:rsidRPr="00972EA8">
              <w:rPr>
                <w:sz w:val="27"/>
                <w:szCs w:val="27"/>
              </w:rPr>
              <w:t>spēku zaudēs</w:t>
            </w:r>
            <w:r w:rsidR="004C1C96" w:rsidRPr="00972EA8">
              <w:rPr>
                <w:sz w:val="27"/>
                <w:szCs w:val="27"/>
              </w:rPr>
              <w:t xml:space="preserve"> Latvijas būvnormatīvs LBN 261-07 „Ēku iekšējo elektroinstalāciju izbūve”, kas apstiprināts ar Ministru kabineta </w:t>
            </w:r>
            <w:r w:rsidR="00823705" w:rsidRPr="00972EA8">
              <w:rPr>
                <w:sz w:val="27"/>
                <w:szCs w:val="27"/>
              </w:rPr>
              <w:t>2007.</w:t>
            </w:r>
            <w:r w:rsidR="00F376A5" w:rsidRPr="00972EA8">
              <w:rPr>
                <w:sz w:val="27"/>
                <w:szCs w:val="27"/>
              </w:rPr>
              <w:t> </w:t>
            </w:r>
            <w:r w:rsidR="00823705" w:rsidRPr="00972EA8">
              <w:rPr>
                <w:sz w:val="27"/>
                <w:szCs w:val="27"/>
              </w:rPr>
              <w:t>gada 16.</w:t>
            </w:r>
            <w:r w:rsidR="00F376A5" w:rsidRPr="00972EA8">
              <w:rPr>
                <w:sz w:val="27"/>
                <w:szCs w:val="27"/>
              </w:rPr>
              <w:t> </w:t>
            </w:r>
            <w:r w:rsidR="00823705" w:rsidRPr="00972EA8">
              <w:rPr>
                <w:sz w:val="27"/>
                <w:szCs w:val="27"/>
              </w:rPr>
              <w:t>oktobra</w:t>
            </w:r>
            <w:r w:rsidR="004C1C96" w:rsidRPr="00972EA8">
              <w:rPr>
                <w:sz w:val="27"/>
                <w:szCs w:val="27"/>
              </w:rPr>
              <w:t xml:space="preserve"> noteikumiem Nr.709 „Noteikumi par Latvijas būvnormatīvu LBN 261-07 „Ēku iekšējo elektroinstalāciju izbūve””.</w:t>
            </w:r>
          </w:p>
          <w:p w14:paraId="0BD423DF" w14:textId="4D5C8286" w:rsidR="005D1EE6" w:rsidRPr="00972EA8" w:rsidRDefault="00823705" w:rsidP="005D1EE6">
            <w:pPr>
              <w:pStyle w:val="naiskr"/>
              <w:spacing w:before="0" w:after="0"/>
              <w:ind w:left="57" w:right="57"/>
              <w:jc w:val="both"/>
              <w:rPr>
                <w:sz w:val="27"/>
                <w:szCs w:val="27"/>
              </w:rPr>
            </w:pPr>
            <w:r w:rsidRPr="00972EA8">
              <w:rPr>
                <w:sz w:val="27"/>
                <w:szCs w:val="27"/>
              </w:rPr>
              <w:t>Vienlaicīgi</w:t>
            </w:r>
            <w:r w:rsidR="005D1EE6" w:rsidRPr="00972EA8">
              <w:rPr>
                <w:sz w:val="27"/>
                <w:szCs w:val="27"/>
              </w:rPr>
              <w:t>, lai nodrošinātu būvnormatīva izpildi un nodrošinātu būvju būtisko prasību ievērošanu, noteikts, ka Ekonomikas ministrija sadarbībā ar attiecīgo stan</w:t>
            </w:r>
            <w:r w:rsidR="00593079" w:rsidRPr="00972EA8">
              <w:rPr>
                <w:sz w:val="27"/>
                <w:szCs w:val="27"/>
              </w:rPr>
              <w:t>dartu tehnisko komiteju iesaka n</w:t>
            </w:r>
            <w:r w:rsidR="005D1EE6" w:rsidRPr="00972EA8">
              <w:rPr>
                <w:sz w:val="27"/>
                <w:szCs w:val="27"/>
              </w:rPr>
              <w:t>acionālajai standartizācijas institūcijai (sabiedrībai ar ierobežotu atbildību „Standartizācijas, akreditācijas un metroloģijas centrs”) saistībā ar šiem noteikumiem izstrādājamo, adaptējamo un piemērojam</w:t>
            </w:r>
            <w:r w:rsidR="00593079" w:rsidRPr="00972EA8">
              <w:rPr>
                <w:sz w:val="27"/>
                <w:szCs w:val="27"/>
              </w:rPr>
              <w:t>o standartu sarakstu. Savukārt n</w:t>
            </w:r>
            <w:r w:rsidR="005D1EE6" w:rsidRPr="00972EA8">
              <w:rPr>
                <w:sz w:val="27"/>
                <w:szCs w:val="27"/>
              </w:rPr>
              <w:t xml:space="preserve">acionālā standartizācijas institūcija publicē tās interneta vietnē www.lvs.lv to Latvijas nacionālo standartu sarakstu un attiecīgo standartu nacionālos pielikumus, kurus piemēro Latvijas būvnormatīva </w:t>
            </w:r>
            <w:r w:rsidR="005D1EE6" w:rsidRPr="00972EA8">
              <w:rPr>
                <w:rFonts w:eastAsia="SimSun"/>
                <w:sz w:val="27"/>
                <w:szCs w:val="27"/>
                <w:lang w:eastAsia="zh-CN"/>
              </w:rPr>
              <w:t>LBN 261-15 „Ēku iekšējā elektroinstalācija”</w:t>
            </w:r>
            <w:r w:rsidR="005D1EE6" w:rsidRPr="00972EA8">
              <w:rPr>
                <w:sz w:val="27"/>
                <w:szCs w:val="27"/>
              </w:rPr>
              <w:t xml:space="preserve"> izpildei.</w:t>
            </w:r>
          </w:p>
          <w:p w14:paraId="3464F580" w14:textId="4363ADC8" w:rsidR="00B326D8" w:rsidRPr="00972EA8" w:rsidRDefault="00B326D8" w:rsidP="00B326D8">
            <w:pPr>
              <w:pStyle w:val="naiskr"/>
              <w:spacing w:before="0" w:after="0"/>
              <w:ind w:left="57" w:right="57"/>
              <w:jc w:val="both"/>
              <w:rPr>
                <w:sz w:val="27"/>
                <w:szCs w:val="27"/>
              </w:rPr>
            </w:pPr>
            <w:r w:rsidRPr="00972EA8">
              <w:rPr>
                <w:sz w:val="27"/>
                <w:szCs w:val="27"/>
              </w:rPr>
              <w:t xml:space="preserve">Papildus jānorāda, ka Latvijas būvnormatīva LBN 261-07 „Ēku iekšējo elektroinstalāciju izbūve” 41.3 punktā kā obligātais standarts ir jau minēts LVS EN 62305-2+AC:2007 </w:t>
            </w:r>
            <w:r w:rsidRPr="00972EA8">
              <w:rPr>
                <w:sz w:val="27"/>
                <w:szCs w:val="27"/>
              </w:rPr>
              <w:lastRenderedPageBreak/>
              <w:t>"Zibensaizsardzība. 2.daļa: Risku novērtēšana". Taču atbilstoši SIA „Standartizācijas, akreditācijas un metroloģijas centrs” tīmekļa vietnē esošajai informācijai šim standartam ir izdota aktualizēta redakcija – LVS EN 62305-2:2012 „Zibensaizsardzība. 2. daļa: Riska pārvaldība (IEC 62305-2:2010, modificēts)”. Novecojušas standarta redakcijas izmantošana var potenciāli liegt sasniegt labāko iespējamo rezultātu un var ietekmēt ēkas drošumu, jo novecojušajā standarta redakcijā var nebūt ņemti vērā konkrētai situācijai svarīgi aspekti, kas varēja nepastāvēt standarta redakcijas pieņemšanas (apstiprināšanas) brīdī sakarā ar tehnoloģiju un būvmateriālu attīstību. Tādēļ par obligāto standartu noteikumu projektā ir noteikta jaunākā attiecīgā standarta redakcija.</w:t>
            </w:r>
            <w:r w:rsidR="00761350" w:rsidRPr="00972EA8">
              <w:rPr>
                <w:sz w:val="27"/>
                <w:szCs w:val="27"/>
              </w:rPr>
              <w:t xml:space="preserve"> Jāmin arī, ka konkrētais gadījums ir jānošķir no gadījuma, kad par obligātu pirmo redzi tiek noteikts kāds standarts, jo šis standarts iepriekšējā redakcijā jau bija noteikts par obligātu.</w:t>
            </w:r>
            <w:r w:rsidRPr="00972EA8">
              <w:rPr>
                <w:sz w:val="27"/>
                <w:szCs w:val="27"/>
              </w:rPr>
              <w:t xml:space="preserve"> Ekonomikas ministrija līdz 2016. gada 1. jūlijam nodrošinās šī standarta jaunās redakcijas tulkošanu valsts valodā. Standarta jaunās redakcijas tulkošana tiks nodrošināta no Ekonomikas ministrijas finanšu līdzekļiem.</w:t>
            </w:r>
          </w:p>
        </w:tc>
      </w:tr>
      <w:tr w:rsidR="00CB1045" w:rsidRPr="00972EA8" w14:paraId="0934AAED" w14:textId="77777777" w:rsidTr="005D1EE6">
        <w:trPr>
          <w:trHeight w:val="706"/>
        </w:trPr>
        <w:tc>
          <w:tcPr>
            <w:tcW w:w="524" w:type="dxa"/>
          </w:tcPr>
          <w:p w14:paraId="2EDE3719" w14:textId="2C869398" w:rsidR="00CB1045" w:rsidRPr="00972EA8" w:rsidRDefault="00CB1045" w:rsidP="00B96DF3">
            <w:pPr>
              <w:ind w:left="57" w:right="57"/>
              <w:rPr>
                <w:sz w:val="27"/>
                <w:szCs w:val="27"/>
                <w:lang w:val="lv-LV"/>
              </w:rPr>
            </w:pPr>
            <w:r w:rsidRPr="00972EA8">
              <w:rPr>
                <w:sz w:val="27"/>
                <w:szCs w:val="27"/>
                <w:lang w:val="lv-LV"/>
              </w:rPr>
              <w:lastRenderedPageBreak/>
              <w:t> 3.</w:t>
            </w:r>
          </w:p>
        </w:tc>
        <w:tc>
          <w:tcPr>
            <w:tcW w:w="3177" w:type="dxa"/>
          </w:tcPr>
          <w:p w14:paraId="1DF47B6C" w14:textId="77777777" w:rsidR="00CB1045" w:rsidRPr="00972EA8" w:rsidRDefault="005761CE" w:rsidP="00B96DF3">
            <w:pPr>
              <w:ind w:left="57" w:right="57"/>
              <w:rPr>
                <w:sz w:val="27"/>
                <w:szCs w:val="27"/>
                <w:lang w:val="lv-LV"/>
              </w:rPr>
            </w:pPr>
            <w:r w:rsidRPr="00972EA8">
              <w:rPr>
                <w:sz w:val="27"/>
                <w:szCs w:val="27"/>
                <w:lang w:val="lv-LV"/>
              </w:rPr>
              <w:t>Projekta izstrādē iesaistītās institūcijas</w:t>
            </w:r>
          </w:p>
        </w:tc>
        <w:tc>
          <w:tcPr>
            <w:tcW w:w="5361" w:type="dxa"/>
          </w:tcPr>
          <w:p w14:paraId="472FA0B2" w14:textId="77777777" w:rsidR="00CB1045" w:rsidRPr="00972EA8" w:rsidRDefault="00823F99" w:rsidP="00823F99">
            <w:pPr>
              <w:ind w:left="57" w:right="57"/>
              <w:jc w:val="both"/>
              <w:rPr>
                <w:sz w:val="27"/>
                <w:szCs w:val="27"/>
                <w:lang w:val="lv-LV"/>
              </w:rPr>
            </w:pPr>
            <w:r w:rsidRPr="00972EA8">
              <w:rPr>
                <w:sz w:val="27"/>
                <w:szCs w:val="27"/>
                <w:lang w:val="lv-LV"/>
              </w:rPr>
              <w:t>Noteikumu p</w:t>
            </w:r>
            <w:r w:rsidR="00761BAC" w:rsidRPr="00972EA8">
              <w:rPr>
                <w:sz w:val="27"/>
                <w:szCs w:val="27"/>
                <w:lang w:val="lv-LV"/>
              </w:rPr>
              <w:t>rojekts šo jomu neskar</w:t>
            </w:r>
            <w:r w:rsidR="001B5B02" w:rsidRPr="00972EA8">
              <w:rPr>
                <w:sz w:val="27"/>
                <w:szCs w:val="27"/>
                <w:lang w:val="lv-LV"/>
              </w:rPr>
              <w:t>.</w:t>
            </w:r>
          </w:p>
        </w:tc>
      </w:tr>
      <w:tr w:rsidR="00CB1045" w:rsidRPr="00972EA8" w14:paraId="02FFC7CA" w14:textId="77777777" w:rsidTr="005D1EE6">
        <w:trPr>
          <w:trHeight w:val="384"/>
        </w:trPr>
        <w:tc>
          <w:tcPr>
            <w:tcW w:w="524" w:type="dxa"/>
          </w:tcPr>
          <w:p w14:paraId="448E0CE8" w14:textId="77777777" w:rsidR="00CB1045" w:rsidRPr="00972EA8" w:rsidRDefault="00CB1045" w:rsidP="00B96DF3">
            <w:pPr>
              <w:ind w:left="57" w:right="57"/>
              <w:rPr>
                <w:sz w:val="27"/>
                <w:szCs w:val="27"/>
                <w:lang w:val="lv-LV"/>
              </w:rPr>
            </w:pPr>
            <w:r w:rsidRPr="00972EA8">
              <w:rPr>
                <w:sz w:val="27"/>
                <w:szCs w:val="27"/>
                <w:lang w:val="lv-LV"/>
              </w:rPr>
              <w:t> 4.</w:t>
            </w:r>
          </w:p>
        </w:tc>
        <w:tc>
          <w:tcPr>
            <w:tcW w:w="3177" w:type="dxa"/>
          </w:tcPr>
          <w:p w14:paraId="1891ECB6" w14:textId="77777777" w:rsidR="00CB1045" w:rsidRPr="00972EA8" w:rsidRDefault="005761CE" w:rsidP="00B96DF3">
            <w:pPr>
              <w:ind w:left="57" w:right="57"/>
              <w:rPr>
                <w:sz w:val="27"/>
                <w:szCs w:val="27"/>
                <w:lang w:val="lv-LV"/>
              </w:rPr>
            </w:pPr>
            <w:r w:rsidRPr="00972EA8">
              <w:rPr>
                <w:sz w:val="27"/>
                <w:szCs w:val="27"/>
                <w:lang w:val="lv-LV"/>
              </w:rPr>
              <w:t>Cita informācija</w:t>
            </w:r>
          </w:p>
        </w:tc>
        <w:tc>
          <w:tcPr>
            <w:tcW w:w="5361" w:type="dxa"/>
          </w:tcPr>
          <w:p w14:paraId="3132C016" w14:textId="77777777" w:rsidR="00C30F02" w:rsidRPr="00972EA8" w:rsidRDefault="005761CE" w:rsidP="005761CE">
            <w:pPr>
              <w:pStyle w:val="naiskr"/>
              <w:ind w:right="57"/>
              <w:jc w:val="both"/>
              <w:rPr>
                <w:sz w:val="27"/>
                <w:szCs w:val="27"/>
              </w:rPr>
            </w:pPr>
            <w:r w:rsidRPr="00972EA8">
              <w:rPr>
                <w:sz w:val="27"/>
                <w:szCs w:val="27"/>
              </w:rPr>
              <w:t>Nav</w:t>
            </w:r>
          </w:p>
        </w:tc>
      </w:tr>
    </w:tbl>
    <w:p w14:paraId="29A041EA" w14:textId="77777777" w:rsidR="00CB1045" w:rsidRPr="00A93F52" w:rsidRDefault="00CB1045" w:rsidP="00CB1045">
      <w:pPr>
        <w:ind w:left="57" w:right="57"/>
        <w:rPr>
          <w:sz w:val="28"/>
          <w:szCs w:val="28"/>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CB1045" w:rsidRPr="00A93F52" w14:paraId="10C09675" w14:textId="77777777" w:rsidTr="00B96DF3">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040D63F6" w14:textId="77777777" w:rsidR="00CB1045" w:rsidRPr="00A93F52" w:rsidRDefault="00CB1045" w:rsidP="00B96DF3">
            <w:pPr>
              <w:ind w:left="57" w:right="57"/>
              <w:jc w:val="center"/>
              <w:rPr>
                <w:b/>
                <w:sz w:val="28"/>
                <w:szCs w:val="28"/>
                <w:lang w:val="lv-LV"/>
              </w:rPr>
            </w:pPr>
            <w:r w:rsidRPr="00A93F52">
              <w:rPr>
                <w:b/>
                <w:sz w:val="28"/>
                <w:szCs w:val="28"/>
                <w:lang w:val="lv-LV"/>
              </w:rPr>
              <w:t>II. Tiesību akta projekta ietekme uz sabiedrību</w:t>
            </w:r>
            <w:r w:rsidR="005761CE" w:rsidRPr="00A93F52">
              <w:rPr>
                <w:b/>
                <w:sz w:val="28"/>
                <w:szCs w:val="28"/>
                <w:lang w:val="lv-LV"/>
              </w:rPr>
              <w:t xml:space="preserve"> tautsaimniecības attīstību un administratīvo slogu</w:t>
            </w:r>
          </w:p>
        </w:tc>
      </w:tr>
      <w:tr w:rsidR="00CB1045" w:rsidRPr="00A93F52" w14:paraId="77AF2AFE" w14:textId="77777777" w:rsidTr="00915E1B">
        <w:trPr>
          <w:trHeight w:val="467"/>
        </w:trPr>
        <w:tc>
          <w:tcPr>
            <w:tcW w:w="523" w:type="dxa"/>
            <w:tcBorders>
              <w:top w:val="single" w:sz="4" w:space="0" w:color="auto"/>
              <w:left w:val="single" w:sz="4" w:space="0" w:color="auto"/>
              <w:bottom w:val="single" w:sz="4" w:space="0" w:color="auto"/>
              <w:right w:val="single" w:sz="4" w:space="0" w:color="auto"/>
            </w:tcBorders>
            <w:hideMark/>
          </w:tcPr>
          <w:p w14:paraId="4758C1EC" w14:textId="77777777" w:rsidR="00CB1045" w:rsidRPr="00A93F52" w:rsidRDefault="00CB1045" w:rsidP="00B96DF3">
            <w:pPr>
              <w:ind w:left="57" w:right="57"/>
              <w:rPr>
                <w:sz w:val="28"/>
                <w:szCs w:val="28"/>
                <w:lang w:val="lv-LV"/>
              </w:rPr>
            </w:pPr>
            <w:r w:rsidRPr="00A93F52">
              <w:rPr>
                <w:sz w:val="28"/>
                <w:szCs w:val="28"/>
                <w:lang w:val="lv-LV"/>
              </w:rPr>
              <w:t> 1.</w:t>
            </w:r>
          </w:p>
        </w:tc>
        <w:tc>
          <w:tcPr>
            <w:tcW w:w="3153" w:type="dxa"/>
            <w:tcBorders>
              <w:top w:val="single" w:sz="4" w:space="0" w:color="auto"/>
              <w:left w:val="single" w:sz="4" w:space="0" w:color="auto"/>
              <w:bottom w:val="single" w:sz="4" w:space="0" w:color="auto"/>
              <w:right w:val="single" w:sz="4" w:space="0" w:color="auto"/>
            </w:tcBorders>
            <w:hideMark/>
          </w:tcPr>
          <w:p w14:paraId="33145626" w14:textId="77777777" w:rsidR="00CB1045" w:rsidRPr="00A93F52" w:rsidRDefault="00CB1045" w:rsidP="00B96DF3">
            <w:pPr>
              <w:ind w:left="57" w:right="57"/>
              <w:rPr>
                <w:sz w:val="28"/>
                <w:szCs w:val="28"/>
                <w:lang w:val="lv-LV"/>
              </w:rPr>
            </w:pPr>
            <w:r w:rsidRPr="00A93F52">
              <w:rPr>
                <w:sz w:val="28"/>
                <w:szCs w:val="28"/>
                <w:lang w:val="lv-LV"/>
              </w:rPr>
              <w:t> Sabiedrības mērķgrupa</w:t>
            </w:r>
            <w:r w:rsidR="005761CE" w:rsidRPr="00A93F52">
              <w:rPr>
                <w:sz w:val="28"/>
                <w:szCs w:val="28"/>
                <w:lang w:val="lv-LV"/>
              </w:rPr>
              <w:t>s,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14:paraId="2E39BA5C" w14:textId="479AFEF4" w:rsidR="00CB1045" w:rsidRPr="00A93F52" w:rsidRDefault="00665D97" w:rsidP="00E300C6">
            <w:pPr>
              <w:ind w:left="57" w:right="57"/>
              <w:jc w:val="both"/>
              <w:rPr>
                <w:sz w:val="28"/>
                <w:szCs w:val="28"/>
                <w:lang w:val="lv-LV"/>
              </w:rPr>
            </w:pPr>
            <w:r w:rsidRPr="00A93F52">
              <w:rPr>
                <w:iCs/>
                <w:sz w:val="28"/>
                <w:szCs w:val="28"/>
                <w:lang w:val="lv-LV"/>
              </w:rPr>
              <w:t>Noteikumu projekta r</w:t>
            </w:r>
            <w:r w:rsidR="009C7702" w:rsidRPr="00A93F52">
              <w:rPr>
                <w:iCs/>
                <w:sz w:val="28"/>
                <w:szCs w:val="28"/>
                <w:lang w:val="lv-LV"/>
              </w:rPr>
              <w:t xml:space="preserve">egulējums </w:t>
            </w:r>
            <w:r w:rsidRPr="00A93F52">
              <w:rPr>
                <w:iCs/>
                <w:sz w:val="28"/>
                <w:szCs w:val="28"/>
                <w:lang w:val="lv-LV"/>
              </w:rPr>
              <w:t xml:space="preserve">var ietekmēt </w:t>
            </w:r>
            <w:r w:rsidR="00E300C6">
              <w:rPr>
                <w:iCs/>
                <w:sz w:val="28"/>
                <w:szCs w:val="28"/>
                <w:lang w:val="lv-LV"/>
              </w:rPr>
              <w:t>jebkuru no būvniecības procesa dalībniekiem (ēkas</w:t>
            </w:r>
            <w:r w:rsidR="00E300C6" w:rsidRPr="00E300C6">
              <w:rPr>
                <w:iCs/>
                <w:sz w:val="28"/>
                <w:szCs w:val="28"/>
                <w:lang w:val="lv-LV"/>
              </w:rPr>
              <w:t xml:space="preserve"> īpašnieks, būvprojekta izstrādātājs, būvdarbu veicējs, būvuzraugs un būveksperts</w:t>
            </w:r>
            <w:r w:rsidR="00E300C6">
              <w:rPr>
                <w:iCs/>
                <w:sz w:val="28"/>
                <w:szCs w:val="28"/>
                <w:lang w:val="lv-LV"/>
              </w:rPr>
              <w:t>)</w:t>
            </w:r>
            <w:r w:rsidR="005D1EE6">
              <w:rPr>
                <w:iCs/>
                <w:sz w:val="28"/>
                <w:szCs w:val="28"/>
                <w:lang w:val="lv-LV"/>
              </w:rPr>
              <w:t>.</w:t>
            </w:r>
          </w:p>
        </w:tc>
      </w:tr>
      <w:tr w:rsidR="00CB1045" w:rsidRPr="00A93F52" w14:paraId="48DFE7BC" w14:textId="77777777" w:rsidTr="00915E1B">
        <w:trPr>
          <w:trHeight w:val="523"/>
        </w:trPr>
        <w:tc>
          <w:tcPr>
            <w:tcW w:w="523" w:type="dxa"/>
            <w:tcBorders>
              <w:top w:val="single" w:sz="4" w:space="0" w:color="auto"/>
              <w:left w:val="single" w:sz="4" w:space="0" w:color="auto"/>
              <w:bottom w:val="single" w:sz="4" w:space="0" w:color="auto"/>
              <w:right w:val="single" w:sz="4" w:space="0" w:color="auto"/>
            </w:tcBorders>
            <w:hideMark/>
          </w:tcPr>
          <w:p w14:paraId="16114EBB" w14:textId="77777777" w:rsidR="00CB1045" w:rsidRPr="00A93F52" w:rsidRDefault="00CB1045" w:rsidP="00B96DF3">
            <w:pPr>
              <w:ind w:left="57" w:right="57"/>
              <w:rPr>
                <w:sz w:val="28"/>
                <w:szCs w:val="28"/>
                <w:lang w:val="lv-LV"/>
              </w:rPr>
            </w:pPr>
            <w:r w:rsidRPr="00A93F52">
              <w:rPr>
                <w:sz w:val="28"/>
                <w:szCs w:val="28"/>
                <w:lang w:val="lv-LV"/>
              </w:rPr>
              <w:t> 2.</w:t>
            </w:r>
          </w:p>
        </w:tc>
        <w:tc>
          <w:tcPr>
            <w:tcW w:w="3153" w:type="dxa"/>
            <w:tcBorders>
              <w:top w:val="single" w:sz="4" w:space="0" w:color="auto"/>
              <w:left w:val="single" w:sz="4" w:space="0" w:color="auto"/>
              <w:bottom w:val="single" w:sz="4" w:space="0" w:color="auto"/>
              <w:right w:val="single" w:sz="4" w:space="0" w:color="auto"/>
            </w:tcBorders>
            <w:hideMark/>
          </w:tcPr>
          <w:p w14:paraId="31062A89" w14:textId="77777777" w:rsidR="00CB1045" w:rsidRPr="00A93F52" w:rsidRDefault="005761CE" w:rsidP="005761CE">
            <w:pPr>
              <w:ind w:left="57" w:right="57"/>
              <w:rPr>
                <w:sz w:val="28"/>
                <w:szCs w:val="28"/>
                <w:lang w:val="lv-LV"/>
              </w:rPr>
            </w:pPr>
            <w:r w:rsidRPr="00A93F52">
              <w:rPr>
                <w:sz w:val="28"/>
                <w:szCs w:val="28"/>
                <w:lang w:val="lv-LV"/>
              </w:rPr>
              <w:t>Tiesiskā regulējuma</w:t>
            </w:r>
            <w:r w:rsidR="00CB1045" w:rsidRPr="00A93F52">
              <w:rPr>
                <w:sz w:val="28"/>
                <w:szCs w:val="28"/>
                <w:lang w:val="lv-LV"/>
              </w:rPr>
              <w:t xml:space="preserve"> </w:t>
            </w:r>
            <w:r w:rsidRPr="00A93F52">
              <w:rPr>
                <w:sz w:val="28"/>
                <w:szCs w:val="28"/>
                <w:lang w:val="lv-LV"/>
              </w:rPr>
              <w:t>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14:paraId="549A9200" w14:textId="3A62D269" w:rsidR="00CB1045" w:rsidRPr="00A93F52" w:rsidRDefault="00823F99" w:rsidP="00823F99">
            <w:pPr>
              <w:ind w:right="57"/>
              <w:jc w:val="both"/>
              <w:rPr>
                <w:sz w:val="28"/>
                <w:szCs w:val="28"/>
                <w:lang w:val="lv-LV"/>
              </w:rPr>
            </w:pPr>
            <w:r w:rsidRPr="00A93F52">
              <w:rPr>
                <w:sz w:val="28"/>
                <w:szCs w:val="28"/>
                <w:lang w:val="lv-LV"/>
              </w:rPr>
              <w:t>Šīs sadaļas 1.</w:t>
            </w:r>
            <w:r w:rsidR="00A93F52" w:rsidRPr="00A93F52">
              <w:rPr>
                <w:sz w:val="28"/>
                <w:szCs w:val="28"/>
                <w:lang w:val="lv-LV"/>
              </w:rPr>
              <w:t> </w:t>
            </w:r>
            <w:r w:rsidRPr="00A93F52">
              <w:rPr>
                <w:sz w:val="28"/>
                <w:szCs w:val="28"/>
                <w:lang w:val="lv-LV"/>
              </w:rPr>
              <w:t>punktā minētajām sabiedrības mērķgrupām un institūcijām</w:t>
            </w:r>
            <w:r w:rsidR="001B5B02" w:rsidRPr="00A93F52">
              <w:rPr>
                <w:sz w:val="28"/>
                <w:szCs w:val="28"/>
                <w:lang w:val="lv-LV"/>
              </w:rPr>
              <w:t xml:space="preserve"> projekta tiesiskais regulējums nemaina tiesības </w:t>
            </w:r>
            <w:r w:rsidR="00993D12" w:rsidRPr="00A93F52">
              <w:rPr>
                <w:sz w:val="28"/>
                <w:szCs w:val="28"/>
                <w:lang w:val="lv-LV"/>
              </w:rPr>
              <w:t>un pienākumus, kā arī veicamās darbības</w:t>
            </w:r>
            <w:r w:rsidR="002862C6">
              <w:rPr>
                <w:sz w:val="28"/>
                <w:szCs w:val="28"/>
                <w:lang w:val="lv-LV"/>
              </w:rPr>
              <w:t xml:space="preserve"> salīdzinājumā ar līdzšinējo normatīvo regulējumu</w:t>
            </w:r>
            <w:r w:rsidR="00993D12" w:rsidRPr="00A93F52">
              <w:rPr>
                <w:sz w:val="28"/>
                <w:szCs w:val="28"/>
                <w:lang w:val="lv-LV"/>
              </w:rPr>
              <w:t>.</w:t>
            </w:r>
          </w:p>
        </w:tc>
      </w:tr>
      <w:tr w:rsidR="00CB1045" w:rsidRPr="00A93F52" w14:paraId="1AD4916A" w14:textId="77777777" w:rsidTr="00915E1B">
        <w:trPr>
          <w:trHeight w:val="517"/>
        </w:trPr>
        <w:tc>
          <w:tcPr>
            <w:tcW w:w="523" w:type="dxa"/>
            <w:tcBorders>
              <w:top w:val="single" w:sz="4" w:space="0" w:color="auto"/>
              <w:left w:val="single" w:sz="4" w:space="0" w:color="auto"/>
              <w:bottom w:val="single" w:sz="4" w:space="0" w:color="auto"/>
              <w:right w:val="single" w:sz="4" w:space="0" w:color="auto"/>
            </w:tcBorders>
            <w:hideMark/>
          </w:tcPr>
          <w:p w14:paraId="50C9FA0D" w14:textId="77777777" w:rsidR="00CB1045" w:rsidRPr="00A93F52" w:rsidRDefault="00CB1045" w:rsidP="00B96DF3">
            <w:pPr>
              <w:ind w:left="57" w:right="57"/>
              <w:rPr>
                <w:sz w:val="28"/>
                <w:szCs w:val="28"/>
                <w:lang w:val="lv-LV"/>
              </w:rPr>
            </w:pPr>
            <w:r w:rsidRPr="00A93F52">
              <w:rPr>
                <w:sz w:val="28"/>
                <w:szCs w:val="28"/>
                <w:lang w:val="lv-LV"/>
              </w:rPr>
              <w:t> 3.</w:t>
            </w:r>
          </w:p>
        </w:tc>
        <w:tc>
          <w:tcPr>
            <w:tcW w:w="3153" w:type="dxa"/>
            <w:tcBorders>
              <w:top w:val="single" w:sz="4" w:space="0" w:color="auto"/>
              <w:left w:val="single" w:sz="4" w:space="0" w:color="auto"/>
              <w:bottom w:val="single" w:sz="4" w:space="0" w:color="auto"/>
              <w:right w:val="single" w:sz="4" w:space="0" w:color="auto"/>
            </w:tcBorders>
            <w:hideMark/>
          </w:tcPr>
          <w:p w14:paraId="6F8AADFF" w14:textId="77777777" w:rsidR="00CB1045" w:rsidRPr="00A93F52" w:rsidRDefault="005761CE" w:rsidP="005761CE">
            <w:pPr>
              <w:ind w:left="57" w:right="57"/>
              <w:rPr>
                <w:sz w:val="28"/>
                <w:szCs w:val="28"/>
                <w:lang w:val="lv-LV"/>
              </w:rPr>
            </w:pPr>
            <w:r w:rsidRPr="00A93F52">
              <w:rPr>
                <w:sz w:val="28"/>
                <w:szCs w:val="28"/>
                <w:lang w:val="lv-LV"/>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14:paraId="3641F158" w14:textId="77777777" w:rsidR="00CB1045" w:rsidRPr="00A93F52" w:rsidRDefault="00823F99" w:rsidP="00823F99">
            <w:pPr>
              <w:ind w:left="57" w:right="57"/>
              <w:jc w:val="both"/>
              <w:rPr>
                <w:sz w:val="28"/>
                <w:szCs w:val="28"/>
                <w:lang w:val="lv-LV"/>
              </w:rPr>
            </w:pPr>
            <w:r w:rsidRPr="00A93F52">
              <w:rPr>
                <w:sz w:val="28"/>
                <w:szCs w:val="28"/>
                <w:lang w:val="lv-LV"/>
              </w:rPr>
              <w:t>Noteikumu p</w:t>
            </w:r>
            <w:r w:rsidR="00993D12" w:rsidRPr="00A93F52">
              <w:rPr>
                <w:sz w:val="28"/>
                <w:szCs w:val="28"/>
                <w:lang w:val="lv-LV"/>
              </w:rPr>
              <w:t>rojekts šo jomu neskar</w:t>
            </w:r>
          </w:p>
        </w:tc>
      </w:tr>
      <w:tr w:rsidR="00CB1045" w:rsidRPr="00A93F52" w14:paraId="5CB42420" w14:textId="77777777" w:rsidTr="00915E1B">
        <w:tc>
          <w:tcPr>
            <w:tcW w:w="523" w:type="dxa"/>
            <w:tcBorders>
              <w:top w:val="single" w:sz="4" w:space="0" w:color="auto"/>
              <w:left w:val="single" w:sz="4" w:space="0" w:color="auto"/>
              <w:bottom w:val="single" w:sz="4" w:space="0" w:color="auto"/>
              <w:right w:val="single" w:sz="4" w:space="0" w:color="auto"/>
            </w:tcBorders>
            <w:hideMark/>
          </w:tcPr>
          <w:p w14:paraId="67DB5E2E" w14:textId="77777777" w:rsidR="00CB1045" w:rsidRPr="00A93F52" w:rsidRDefault="00CB1045" w:rsidP="00134A1B">
            <w:pPr>
              <w:ind w:left="57" w:right="57"/>
              <w:rPr>
                <w:sz w:val="28"/>
                <w:szCs w:val="28"/>
                <w:lang w:val="lv-LV"/>
              </w:rPr>
            </w:pPr>
            <w:r w:rsidRPr="00A93F52">
              <w:rPr>
                <w:sz w:val="28"/>
                <w:szCs w:val="28"/>
                <w:lang w:val="lv-LV"/>
              </w:rPr>
              <w:t> </w:t>
            </w:r>
            <w:r w:rsidR="00134A1B" w:rsidRPr="00A93F52">
              <w:rPr>
                <w:sz w:val="28"/>
                <w:szCs w:val="28"/>
                <w:lang w:val="lv-LV"/>
              </w:rPr>
              <w:t>4</w:t>
            </w:r>
            <w:r w:rsidRPr="00A93F52">
              <w:rPr>
                <w:sz w:val="28"/>
                <w:szCs w:val="28"/>
                <w:lang w:val="lv-LV"/>
              </w:rPr>
              <w:t>.</w:t>
            </w:r>
          </w:p>
        </w:tc>
        <w:tc>
          <w:tcPr>
            <w:tcW w:w="3153" w:type="dxa"/>
            <w:tcBorders>
              <w:top w:val="single" w:sz="4" w:space="0" w:color="auto"/>
              <w:left w:val="single" w:sz="4" w:space="0" w:color="auto"/>
              <w:bottom w:val="single" w:sz="4" w:space="0" w:color="auto"/>
              <w:right w:val="single" w:sz="4" w:space="0" w:color="auto"/>
            </w:tcBorders>
            <w:hideMark/>
          </w:tcPr>
          <w:p w14:paraId="65B90045" w14:textId="77777777" w:rsidR="00CB1045" w:rsidRPr="00A93F52" w:rsidRDefault="00CB1045" w:rsidP="00B96DF3">
            <w:pPr>
              <w:ind w:left="57" w:right="57"/>
              <w:rPr>
                <w:sz w:val="28"/>
                <w:szCs w:val="28"/>
                <w:lang w:val="lv-LV"/>
              </w:rPr>
            </w:pPr>
            <w:r w:rsidRPr="00A93F52">
              <w:rPr>
                <w:sz w:val="28"/>
                <w:szCs w:val="28"/>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14:paraId="054C570C" w14:textId="77777777" w:rsidR="00CB1045" w:rsidRPr="00A93F52" w:rsidRDefault="00823F99" w:rsidP="00B96DF3">
            <w:pPr>
              <w:ind w:left="57" w:right="57"/>
              <w:jc w:val="both"/>
              <w:rPr>
                <w:sz w:val="28"/>
                <w:szCs w:val="28"/>
                <w:lang w:val="lv-LV"/>
              </w:rPr>
            </w:pPr>
            <w:r w:rsidRPr="00A93F52">
              <w:rPr>
                <w:sz w:val="28"/>
                <w:szCs w:val="28"/>
                <w:lang w:val="lv-LV"/>
              </w:rPr>
              <w:t>N</w:t>
            </w:r>
            <w:r w:rsidR="00915E1B" w:rsidRPr="00A93F52">
              <w:rPr>
                <w:sz w:val="28"/>
                <w:szCs w:val="28"/>
                <w:lang w:val="lv-LV"/>
              </w:rPr>
              <w:t>av</w:t>
            </w:r>
          </w:p>
        </w:tc>
      </w:tr>
    </w:tbl>
    <w:p w14:paraId="05DAC562" w14:textId="77777777" w:rsidR="00CB1045" w:rsidRPr="00A93F52" w:rsidRDefault="00CB1045" w:rsidP="00CB1045">
      <w:pPr>
        <w:ind w:left="57" w:right="57"/>
        <w:rPr>
          <w:sz w:val="28"/>
          <w:szCs w:val="28"/>
          <w:lang w:val="lv-LV"/>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CB1045" w:rsidRPr="00A93F52" w14:paraId="1A01CAED" w14:textId="77777777" w:rsidTr="00B96DF3">
        <w:trPr>
          <w:jc w:val="center"/>
        </w:trPr>
        <w:tc>
          <w:tcPr>
            <w:tcW w:w="9215" w:type="dxa"/>
            <w:gridSpan w:val="3"/>
          </w:tcPr>
          <w:p w14:paraId="34D2E757" w14:textId="77777777" w:rsidR="00CB1045" w:rsidRPr="00A93F52" w:rsidRDefault="00CB1045" w:rsidP="005761CE">
            <w:pPr>
              <w:pStyle w:val="naisnod"/>
              <w:spacing w:before="0" w:after="0"/>
              <w:ind w:left="57" w:right="57"/>
              <w:rPr>
                <w:sz w:val="28"/>
                <w:szCs w:val="28"/>
              </w:rPr>
            </w:pPr>
            <w:r w:rsidRPr="00A93F52">
              <w:rPr>
                <w:sz w:val="28"/>
                <w:szCs w:val="28"/>
              </w:rPr>
              <w:t xml:space="preserve">VI. Sabiedrības līdzdalība un </w:t>
            </w:r>
            <w:r w:rsidR="005761CE" w:rsidRPr="00A93F52">
              <w:rPr>
                <w:sz w:val="28"/>
                <w:szCs w:val="28"/>
              </w:rPr>
              <w:t>komunikācijas aktivitātes</w:t>
            </w:r>
          </w:p>
        </w:tc>
      </w:tr>
      <w:tr w:rsidR="00720BD8" w:rsidRPr="00A93F52" w14:paraId="15962D6E" w14:textId="77777777" w:rsidTr="00B96DF3">
        <w:trPr>
          <w:trHeight w:val="553"/>
          <w:jc w:val="center"/>
        </w:trPr>
        <w:tc>
          <w:tcPr>
            <w:tcW w:w="567" w:type="dxa"/>
          </w:tcPr>
          <w:p w14:paraId="51D2A32A" w14:textId="77777777" w:rsidR="00720BD8" w:rsidRPr="00A93F52" w:rsidRDefault="00720BD8" w:rsidP="00B96DF3">
            <w:pPr>
              <w:pStyle w:val="naiskr"/>
              <w:spacing w:before="0" w:after="0"/>
              <w:ind w:left="57" w:right="57"/>
              <w:rPr>
                <w:bCs/>
                <w:sz w:val="28"/>
                <w:szCs w:val="28"/>
              </w:rPr>
            </w:pPr>
            <w:r w:rsidRPr="00A93F52">
              <w:rPr>
                <w:bCs/>
                <w:sz w:val="28"/>
                <w:szCs w:val="28"/>
              </w:rPr>
              <w:t>1.</w:t>
            </w:r>
          </w:p>
        </w:tc>
        <w:tc>
          <w:tcPr>
            <w:tcW w:w="2934" w:type="dxa"/>
          </w:tcPr>
          <w:p w14:paraId="18CA5D86" w14:textId="77777777" w:rsidR="00720BD8" w:rsidRPr="00A93F52" w:rsidRDefault="00720BD8" w:rsidP="00E300C6">
            <w:pPr>
              <w:pStyle w:val="naiskr"/>
              <w:tabs>
                <w:tab w:val="left" w:pos="170"/>
              </w:tabs>
              <w:spacing w:before="0" w:after="0"/>
              <w:ind w:left="57" w:right="57"/>
              <w:rPr>
                <w:sz w:val="28"/>
                <w:szCs w:val="28"/>
              </w:rPr>
            </w:pPr>
            <w:r w:rsidRPr="00A93F52">
              <w:rPr>
                <w:sz w:val="28"/>
                <w:szCs w:val="28"/>
              </w:rPr>
              <w:t>Sabiedrības informēšana par projekta izstrādes uzsākšanu</w:t>
            </w:r>
          </w:p>
        </w:tc>
        <w:tc>
          <w:tcPr>
            <w:tcW w:w="5714" w:type="dxa"/>
          </w:tcPr>
          <w:p w14:paraId="11B52DFE" w14:textId="617EC2D4" w:rsidR="00720BD8" w:rsidRPr="00720BD8" w:rsidRDefault="00720BD8" w:rsidP="00E300C6">
            <w:pPr>
              <w:pStyle w:val="naiskr"/>
              <w:spacing w:before="0" w:after="0"/>
              <w:ind w:left="57" w:right="57"/>
              <w:jc w:val="both"/>
              <w:rPr>
                <w:rFonts w:eastAsiaTheme="minorHAnsi"/>
                <w:sz w:val="28"/>
                <w:szCs w:val="28"/>
                <w:lang w:eastAsia="en-US"/>
              </w:rPr>
            </w:pPr>
            <w:r w:rsidRPr="00720BD8">
              <w:rPr>
                <w:sz w:val="28"/>
                <w:szCs w:val="28"/>
                <w:lang w:eastAsia="en-US"/>
              </w:rPr>
              <w:t>Par noteikumu projekta pārstrādi sabiedrība tika informēta Ekonomikas ministrijas rīkotajos semināros par jauno būvniecības regulējumu. Noteikumu projekts sabiedrībai publiski ir pieejams Ekonomikas ministrijas mājās lapā internetā, kā arī pēc izsludināšanas Valsts sekretāra sanāksmē būs pieejams Ministru kabineta mājās lapā internetā.</w:t>
            </w:r>
          </w:p>
          <w:p w14:paraId="26729A4C" w14:textId="72E8C7DA" w:rsidR="00720BD8" w:rsidRPr="00720BD8" w:rsidRDefault="003A50AC" w:rsidP="003A50AC">
            <w:pPr>
              <w:pStyle w:val="naiskr"/>
              <w:spacing w:before="0" w:after="0"/>
              <w:ind w:left="57" w:right="57"/>
              <w:jc w:val="both"/>
              <w:rPr>
                <w:sz w:val="28"/>
                <w:szCs w:val="28"/>
              </w:rPr>
            </w:pPr>
            <w:r>
              <w:rPr>
                <w:sz w:val="28"/>
                <w:szCs w:val="28"/>
                <w:lang w:eastAsia="en-US"/>
              </w:rPr>
              <w:t xml:space="preserve">Vienlaikus jānorāda, ka atbilstoši </w:t>
            </w:r>
            <w:r w:rsidR="00720BD8" w:rsidRPr="00720BD8">
              <w:rPr>
                <w:sz w:val="28"/>
                <w:szCs w:val="28"/>
                <w:lang w:eastAsia="en-US"/>
              </w:rPr>
              <w:t xml:space="preserve">Ministru kabineta 2009. gada 25. augusta noteikumu Nr.970 “Sabiedrības līdzdalības kārtība attīstības plānošanas procesā” </w:t>
            </w:r>
            <w:r>
              <w:rPr>
                <w:sz w:val="28"/>
                <w:szCs w:val="28"/>
                <w:lang w:eastAsia="en-US"/>
              </w:rPr>
              <w:t xml:space="preserve">5.punktam gadījumā, kad </w:t>
            </w:r>
            <w:r w:rsidRPr="003A50AC">
              <w:rPr>
                <w:sz w:val="28"/>
                <w:szCs w:val="28"/>
                <w:lang w:eastAsia="en-US"/>
              </w:rPr>
              <w:t>tiesību aktu proje</w:t>
            </w:r>
            <w:r>
              <w:rPr>
                <w:sz w:val="28"/>
                <w:szCs w:val="28"/>
                <w:lang w:eastAsia="en-US"/>
              </w:rPr>
              <w:t>kts</w:t>
            </w:r>
            <w:r w:rsidRPr="003A50AC">
              <w:rPr>
                <w:sz w:val="28"/>
                <w:szCs w:val="28"/>
                <w:lang w:eastAsia="en-US"/>
              </w:rPr>
              <w:t xml:space="preserve"> būtiski </w:t>
            </w:r>
            <w:r>
              <w:rPr>
                <w:sz w:val="28"/>
                <w:szCs w:val="28"/>
                <w:lang w:eastAsia="en-US"/>
              </w:rPr>
              <w:t>ne</w:t>
            </w:r>
            <w:r w:rsidRPr="003A50AC">
              <w:rPr>
                <w:sz w:val="28"/>
                <w:szCs w:val="28"/>
                <w:lang w:eastAsia="en-US"/>
              </w:rPr>
              <w:t>maina esošo regulējumu</w:t>
            </w:r>
            <w:r>
              <w:rPr>
                <w:sz w:val="28"/>
                <w:szCs w:val="28"/>
                <w:lang w:eastAsia="en-US"/>
              </w:rPr>
              <w:t xml:space="preserve">, šo noteikumu </w:t>
            </w:r>
            <w:r w:rsidR="00720BD8" w:rsidRPr="00720BD8">
              <w:rPr>
                <w:sz w:val="28"/>
                <w:szCs w:val="28"/>
                <w:lang w:eastAsia="en-US"/>
              </w:rPr>
              <w:t>13. pun</w:t>
            </w:r>
            <w:r>
              <w:rPr>
                <w:sz w:val="28"/>
                <w:szCs w:val="28"/>
                <w:lang w:eastAsia="en-US"/>
              </w:rPr>
              <w:t>ktā minētās darbības nav jāveic. N</w:t>
            </w:r>
            <w:r w:rsidR="00720BD8" w:rsidRPr="00720BD8">
              <w:rPr>
                <w:sz w:val="28"/>
                <w:szCs w:val="28"/>
                <w:lang w:eastAsia="en-US"/>
              </w:rPr>
              <w:t xml:space="preserve">oteikumu projektā paredzētais tiesiskais regulējums </w:t>
            </w:r>
            <w:r>
              <w:rPr>
                <w:sz w:val="28"/>
                <w:szCs w:val="28"/>
                <w:lang w:eastAsia="en-US"/>
              </w:rPr>
              <w:t xml:space="preserve">būtiski </w:t>
            </w:r>
            <w:r w:rsidR="00720BD8" w:rsidRPr="00720BD8">
              <w:rPr>
                <w:sz w:val="28"/>
                <w:szCs w:val="28"/>
                <w:lang w:eastAsia="en-US"/>
              </w:rPr>
              <w:t>nemaina līdzšinējo spēkā esošo regulējumu.</w:t>
            </w:r>
          </w:p>
        </w:tc>
      </w:tr>
      <w:tr w:rsidR="00720BD8" w:rsidRPr="00A93F52" w14:paraId="69F1999F" w14:textId="77777777" w:rsidTr="00B96DF3">
        <w:trPr>
          <w:trHeight w:val="339"/>
          <w:jc w:val="center"/>
        </w:trPr>
        <w:tc>
          <w:tcPr>
            <w:tcW w:w="567" w:type="dxa"/>
          </w:tcPr>
          <w:p w14:paraId="3D5983F1" w14:textId="45608FBF" w:rsidR="00720BD8" w:rsidRPr="00A93F52" w:rsidRDefault="00720BD8" w:rsidP="00B96DF3">
            <w:pPr>
              <w:pStyle w:val="naiskr"/>
              <w:spacing w:before="0" w:after="0"/>
              <w:ind w:left="57" w:right="57"/>
              <w:rPr>
                <w:bCs/>
                <w:sz w:val="28"/>
                <w:szCs w:val="28"/>
              </w:rPr>
            </w:pPr>
            <w:r w:rsidRPr="00A93F52">
              <w:rPr>
                <w:bCs/>
                <w:sz w:val="28"/>
                <w:szCs w:val="28"/>
              </w:rPr>
              <w:t>2.</w:t>
            </w:r>
          </w:p>
        </w:tc>
        <w:tc>
          <w:tcPr>
            <w:tcW w:w="2934" w:type="dxa"/>
          </w:tcPr>
          <w:p w14:paraId="2E278A1F" w14:textId="77777777" w:rsidR="00720BD8" w:rsidRPr="00A93F52" w:rsidRDefault="00720BD8" w:rsidP="00B96DF3">
            <w:pPr>
              <w:pStyle w:val="naiskr"/>
              <w:spacing w:before="0" w:after="0"/>
              <w:ind w:left="57" w:right="57"/>
              <w:rPr>
                <w:sz w:val="28"/>
                <w:szCs w:val="28"/>
              </w:rPr>
            </w:pPr>
            <w:r w:rsidRPr="00A93F52">
              <w:rPr>
                <w:sz w:val="28"/>
                <w:szCs w:val="28"/>
              </w:rPr>
              <w:t xml:space="preserve">Sabiedrības līdzdalība projekta izstrādē </w:t>
            </w:r>
          </w:p>
        </w:tc>
        <w:tc>
          <w:tcPr>
            <w:tcW w:w="5714" w:type="dxa"/>
          </w:tcPr>
          <w:p w14:paraId="3DEA8B5F" w14:textId="58170AB1" w:rsidR="00720BD8" w:rsidRPr="00720BD8" w:rsidRDefault="00720BD8" w:rsidP="00823F99">
            <w:pPr>
              <w:pStyle w:val="naiskr"/>
              <w:spacing w:before="0" w:after="0"/>
              <w:ind w:left="57" w:right="57"/>
              <w:jc w:val="both"/>
              <w:rPr>
                <w:sz w:val="28"/>
                <w:szCs w:val="28"/>
              </w:rPr>
            </w:pPr>
            <w:r w:rsidRPr="00720BD8">
              <w:rPr>
                <w:sz w:val="28"/>
                <w:szCs w:val="28"/>
                <w:lang w:eastAsia="en-US"/>
              </w:rPr>
              <w:t>Sabiedrības priekšlikumi vai iebildumi nav saņemti.</w:t>
            </w:r>
          </w:p>
        </w:tc>
      </w:tr>
      <w:tr w:rsidR="00720BD8" w:rsidRPr="00A93F52" w14:paraId="13BC26F4" w14:textId="77777777" w:rsidTr="00B96DF3">
        <w:trPr>
          <w:trHeight w:val="375"/>
          <w:jc w:val="center"/>
        </w:trPr>
        <w:tc>
          <w:tcPr>
            <w:tcW w:w="567" w:type="dxa"/>
          </w:tcPr>
          <w:p w14:paraId="749F47FE" w14:textId="77777777" w:rsidR="00720BD8" w:rsidRPr="00A93F52" w:rsidRDefault="00720BD8" w:rsidP="00B96DF3">
            <w:pPr>
              <w:pStyle w:val="naiskr"/>
              <w:spacing w:before="0" w:after="0"/>
              <w:ind w:left="57" w:right="57"/>
              <w:rPr>
                <w:bCs/>
                <w:sz w:val="28"/>
                <w:szCs w:val="28"/>
              </w:rPr>
            </w:pPr>
            <w:r w:rsidRPr="00A93F52">
              <w:rPr>
                <w:bCs/>
                <w:sz w:val="28"/>
                <w:szCs w:val="28"/>
              </w:rPr>
              <w:t>3.</w:t>
            </w:r>
          </w:p>
        </w:tc>
        <w:tc>
          <w:tcPr>
            <w:tcW w:w="2934" w:type="dxa"/>
          </w:tcPr>
          <w:p w14:paraId="1D99D64F" w14:textId="77777777" w:rsidR="00720BD8" w:rsidRPr="00A93F52" w:rsidRDefault="00720BD8" w:rsidP="00B96DF3">
            <w:pPr>
              <w:pStyle w:val="naiskr"/>
              <w:spacing w:before="0" w:after="0"/>
              <w:ind w:left="57" w:right="57"/>
              <w:rPr>
                <w:sz w:val="28"/>
                <w:szCs w:val="28"/>
              </w:rPr>
            </w:pPr>
            <w:r w:rsidRPr="00A93F52">
              <w:rPr>
                <w:sz w:val="28"/>
                <w:szCs w:val="28"/>
              </w:rPr>
              <w:t xml:space="preserve">Sabiedrības līdzdalības rezultāti </w:t>
            </w:r>
          </w:p>
        </w:tc>
        <w:tc>
          <w:tcPr>
            <w:tcW w:w="5714" w:type="dxa"/>
          </w:tcPr>
          <w:p w14:paraId="31BF5211" w14:textId="74C53D7A" w:rsidR="00720BD8" w:rsidRPr="00720BD8" w:rsidRDefault="00720BD8" w:rsidP="00823F99">
            <w:pPr>
              <w:pStyle w:val="naiskr"/>
              <w:spacing w:before="0" w:after="0"/>
              <w:ind w:left="57" w:right="57"/>
              <w:jc w:val="both"/>
              <w:rPr>
                <w:sz w:val="28"/>
                <w:szCs w:val="28"/>
              </w:rPr>
            </w:pPr>
            <w:r w:rsidRPr="00720BD8">
              <w:rPr>
                <w:sz w:val="28"/>
                <w:szCs w:val="28"/>
                <w:lang w:eastAsia="en-US"/>
              </w:rPr>
              <w:t>Sadaļa tiks precizēta atbilstoši saņemtajiem atzinumiem.</w:t>
            </w:r>
          </w:p>
        </w:tc>
      </w:tr>
      <w:tr w:rsidR="00CB1045" w:rsidRPr="00A93F52" w14:paraId="34C35251" w14:textId="77777777" w:rsidTr="00B96DF3">
        <w:trPr>
          <w:trHeight w:val="476"/>
          <w:jc w:val="center"/>
        </w:trPr>
        <w:tc>
          <w:tcPr>
            <w:tcW w:w="567" w:type="dxa"/>
          </w:tcPr>
          <w:p w14:paraId="342F0AC6" w14:textId="77777777" w:rsidR="00CB1045" w:rsidRPr="00A93F52" w:rsidRDefault="00134A1B" w:rsidP="00B96DF3">
            <w:pPr>
              <w:pStyle w:val="naiskr"/>
              <w:spacing w:before="0" w:after="0"/>
              <w:ind w:left="57" w:right="57"/>
              <w:rPr>
                <w:bCs/>
                <w:sz w:val="28"/>
                <w:szCs w:val="28"/>
              </w:rPr>
            </w:pPr>
            <w:r w:rsidRPr="00A93F52">
              <w:rPr>
                <w:bCs/>
                <w:sz w:val="28"/>
                <w:szCs w:val="28"/>
              </w:rPr>
              <w:t>4</w:t>
            </w:r>
            <w:r w:rsidR="00CB1045" w:rsidRPr="00A93F52">
              <w:rPr>
                <w:bCs/>
                <w:sz w:val="28"/>
                <w:szCs w:val="28"/>
              </w:rPr>
              <w:t>.</w:t>
            </w:r>
          </w:p>
        </w:tc>
        <w:tc>
          <w:tcPr>
            <w:tcW w:w="2934" w:type="dxa"/>
          </w:tcPr>
          <w:p w14:paraId="0BBD273F" w14:textId="77777777" w:rsidR="00CB1045" w:rsidRPr="00A93F52" w:rsidRDefault="00CB1045" w:rsidP="00B96DF3">
            <w:pPr>
              <w:pStyle w:val="naiskr"/>
              <w:spacing w:before="0" w:after="0"/>
              <w:ind w:left="57" w:right="57"/>
              <w:rPr>
                <w:sz w:val="28"/>
                <w:szCs w:val="28"/>
              </w:rPr>
            </w:pPr>
            <w:r w:rsidRPr="00A93F52">
              <w:rPr>
                <w:sz w:val="28"/>
                <w:szCs w:val="28"/>
              </w:rPr>
              <w:t>Cita informācija</w:t>
            </w:r>
          </w:p>
        </w:tc>
        <w:tc>
          <w:tcPr>
            <w:tcW w:w="5714" w:type="dxa"/>
          </w:tcPr>
          <w:p w14:paraId="72976324" w14:textId="77777777" w:rsidR="00CB1045" w:rsidRPr="00A93F52" w:rsidRDefault="00CB1045" w:rsidP="00B96DF3">
            <w:pPr>
              <w:pStyle w:val="naiskr"/>
              <w:spacing w:before="0" w:after="0"/>
              <w:ind w:left="57" w:right="57"/>
              <w:jc w:val="both"/>
              <w:rPr>
                <w:sz w:val="28"/>
                <w:szCs w:val="28"/>
              </w:rPr>
            </w:pPr>
            <w:r w:rsidRPr="00A93F52">
              <w:rPr>
                <w:sz w:val="28"/>
                <w:szCs w:val="28"/>
              </w:rPr>
              <w:t>Nav</w:t>
            </w:r>
          </w:p>
        </w:tc>
      </w:tr>
    </w:tbl>
    <w:p w14:paraId="21716BF2" w14:textId="46C0954E" w:rsidR="00CB1045" w:rsidRPr="00A93F52" w:rsidRDefault="00823F99" w:rsidP="00D56F0B">
      <w:pPr>
        <w:pStyle w:val="naisf"/>
        <w:tabs>
          <w:tab w:val="left" w:pos="6710"/>
        </w:tabs>
        <w:spacing w:before="120" w:after="240"/>
        <w:rPr>
          <w:sz w:val="28"/>
          <w:szCs w:val="28"/>
        </w:rPr>
      </w:pPr>
      <w:r w:rsidRPr="00A93F52">
        <w:rPr>
          <w:sz w:val="28"/>
          <w:szCs w:val="28"/>
        </w:rPr>
        <w:t>Anotācijas III,</w:t>
      </w:r>
      <w:r w:rsidR="00405F26" w:rsidRPr="00A93F52">
        <w:rPr>
          <w:sz w:val="28"/>
          <w:szCs w:val="28"/>
        </w:rPr>
        <w:t xml:space="preserve"> </w:t>
      </w:r>
      <w:r w:rsidR="00CB1045" w:rsidRPr="00A93F52">
        <w:rPr>
          <w:sz w:val="28"/>
          <w:szCs w:val="28"/>
        </w:rPr>
        <w:t>IV</w:t>
      </w:r>
      <w:r w:rsidR="00F376A5">
        <w:rPr>
          <w:sz w:val="28"/>
          <w:szCs w:val="28"/>
        </w:rPr>
        <w:t>, V</w:t>
      </w:r>
      <w:r w:rsidRPr="00A93F52">
        <w:rPr>
          <w:sz w:val="28"/>
          <w:szCs w:val="28"/>
        </w:rPr>
        <w:t xml:space="preserve"> un V</w:t>
      </w:r>
      <w:r w:rsidR="00F376A5">
        <w:rPr>
          <w:sz w:val="28"/>
          <w:szCs w:val="28"/>
        </w:rPr>
        <w:t>II</w:t>
      </w:r>
      <w:r w:rsidR="00CB1045" w:rsidRPr="00A93F52">
        <w:rPr>
          <w:sz w:val="28"/>
          <w:szCs w:val="28"/>
        </w:rPr>
        <w:t xml:space="preserve"> sadaļa - projekts šīs jomas neskar.</w:t>
      </w:r>
    </w:p>
    <w:p w14:paraId="1746E202" w14:textId="77777777" w:rsidR="009D73EF" w:rsidRPr="00720BD8" w:rsidRDefault="009D73EF" w:rsidP="00EF722B">
      <w:pPr>
        <w:jc w:val="both"/>
        <w:rPr>
          <w:sz w:val="28"/>
          <w:szCs w:val="28"/>
          <w:lang w:val="lv-LV"/>
        </w:rPr>
      </w:pPr>
    </w:p>
    <w:p w14:paraId="155917F5" w14:textId="77777777" w:rsidR="00EF722B" w:rsidRPr="00720BD8" w:rsidRDefault="00EF722B" w:rsidP="00EF722B">
      <w:pPr>
        <w:jc w:val="both"/>
        <w:rPr>
          <w:sz w:val="28"/>
          <w:szCs w:val="28"/>
          <w:lang w:val="lv-LV"/>
        </w:rPr>
      </w:pPr>
      <w:r w:rsidRPr="00720BD8">
        <w:rPr>
          <w:sz w:val="28"/>
          <w:szCs w:val="28"/>
          <w:lang w:val="lv-LV"/>
        </w:rPr>
        <w:t>Ekonomikas ministre</w:t>
      </w:r>
      <w:r w:rsidRPr="00720BD8">
        <w:rPr>
          <w:bCs/>
          <w:sz w:val="28"/>
          <w:szCs w:val="28"/>
          <w:lang w:val="lv-LV"/>
        </w:rPr>
        <w:tab/>
      </w:r>
      <w:r w:rsidRPr="00720BD8">
        <w:rPr>
          <w:bCs/>
          <w:sz w:val="28"/>
          <w:szCs w:val="28"/>
          <w:lang w:val="lv-LV"/>
        </w:rPr>
        <w:tab/>
      </w:r>
      <w:r w:rsidRPr="00720BD8">
        <w:rPr>
          <w:bCs/>
          <w:sz w:val="28"/>
          <w:szCs w:val="28"/>
          <w:lang w:val="lv-LV"/>
        </w:rPr>
        <w:tab/>
      </w:r>
      <w:r w:rsidRPr="00720BD8">
        <w:rPr>
          <w:bCs/>
          <w:sz w:val="28"/>
          <w:szCs w:val="28"/>
          <w:lang w:val="lv-LV"/>
        </w:rPr>
        <w:tab/>
      </w:r>
      <w:r w:rsidRPr="00720BD8">
        <w:rPr>
          <w:bCs/>
          <w:sz w:val="28"/>
          <w:szCs w:val="28"/>
          <w:lang w:val="lv-LV"/>
        </w:rPr>
        <w:tab/>
      </w:r>
      <w:r w:rsidRPr="00720BD8">
        <w:rPr>
          <w:bCs/>
          <w:sz w:val="28"/>
          <w:szCs w:val="28"/>
          <w:lang w:val="lv-LV"/>
        </w:rPr>
        <w:tab/>
      </w:r>
      <w:r w:rsidRPr="00720BD8">
        <w:rPr>
          <w:sz w:val="28"/>
          <w:szCs w:val="28"/>
          <w:lang w:val="lv-LV"/>
        </w:rPr>
        <w:t>D. Reizniece-Ozola</w:t>
      </w:r>
    </w:p>
    <w:p w14:paraId="05AE1AFC" w14:textId="77777777" w:rsidR="009D73EF" w:rsidRPr="00720BD8" w:rsidRDefault="009D73EF" w:rsidP="00EF722B">
      <w:pPr>
        <w:jc w:val="both"/>
        <w:rPr>
          <w:bCs/>
          <w:sz w:val="28"/>
          <w:szCs w:val="28"/>
          <w:lang w:val="lv-LV"/>
        </w:rPr>
      </w:pPr>
    </w:p>
    <w:p w14:paraId="034DF889" w14:textId="77777777" w:rsidR="00EF722B" w:rsidRPr="00720BD8" w:rsidRDefault="00EF722B" w:rsidP="00EF722B">
      <w:pPr>
        <w:jc w:val="both"/>
        <w:rPr>
          <w:bCs/>
          <w:sz w:val="28"/>
          <w:szCs w:val="28"/>
          <w:lang w:val="lv-LV"/>
        </w:rPr>
      </w:pPr>
      <w:r w:rsidRPr="00720BD8">
        <w:rPr>
          <w:bCs/>
          <w:sz w:val="28"/>
          <w:szCs w:val="28"/>
          <w:lang w:val="lv-LV"/>
        </w:rPr>
        <w:t>Vīza:</w:t>
      </w:r>
    </w:p>
    <w:p w14:paraId="6297B8B7" w14:textId="77777777" w:rsidR="00083FEE" w:rsidRPr="00720BD8" w:rsidRDefault="00083FEE" w:rsidP="00083FEE">
      <w:pPr>
        <w:contextualSpacing/>
        <w:rPr>
          <w:sz w:val="28"/>
          <w:szCs w:val="28"/>
          <w:lang w:val="lv-LV"/>
        </w:rPr>
      </w:pPr>
      <w:r w:rsidRPr="00720BD8">
        <w:rPr>
          <w:sz w:val="28"/>
          <w:szCs w:val="28"/>
          <w:lang w:val="lv-LV"/>
        </w:rPr>
        <w:t>Valsts sekretāra</w:t>
      </w:r>
    </w:p>
    <w:p w14:paraId="719632FF" w14:textId="77777777" w:rsidR="00083FEE" w:rsidRPr="00720BD8" w:rsidRDefault="00083FEE" w:rsidP="00083FEE">
      <w:pPr>
        <w:contextualSpacing/>
        <w:rPr>
          <w:sz w:val="28"/>
          <w:szCs w:val="28"/>
          <w:lang w:val="lv-LV"/>
        </w:rPr>
      </w:pPr>
      <w:r w:rsidRPr="00720BD8">
        <w:rPr>
          <w:sz w:val="28"/>
          <w:szCs w:val="28"/>
          <w:lang w:val="lv-LV"/>
        </w:rPr>
        <w:t>pienākumu izpildītājs,</w:t>
      </w:r>
    </w:p>
    <w:p w14:paraId="61446214" w14:textId="2DB740A7" w:rsidR="00EF722B" w:rsidRPr="00720BD8" w:rsidRDefault="00083FEE" w:rsidP="00083FEE">
      <w:pPr>
        <w:jc w:val="both"/>
        <w:rPr>
          <w:sz w:val="28"/>
          <w:szCs w:val="28"/>
          <w:lang w:val="lv-LV"/>
        </w:rPr>
      </w:pPr>
      <w:r w:rsidRPr="00720BD8">
        <w:rPr>
          <w:sz w:val="28"/>
          <w:szCs w:val="28"/>
          <w:lang w:val="lv-LV"/>
        </w:rPr>
        <w:t>valsts sekretāra vietnieks</w:t>
      </w:r>
      <w:r w:rsidR="00EF722B" w:rsidRPr="00720BD8">
        <w:rPr>
          <w:sz w:val="28"/>
          <w:szCs w:val="28"/>
          <w:lang w:val="lv-LV"/>
        </w:rPr>
        <w:tab/>
      </w:r>
      <w:r w:rsidR="00EF722B" w:rsidRPr="00720BD8">
        <w:rPr>
          <w:sz w:val="28"/>
          <w:szCs w:val="28"/>
          <w:lang w:val="lv-LV"/>
        </w:rPr>
        <w:tab/>
      </w:r>
      <w:r w:rsidR="00EF722B" w:rsidRPr="00720BD8">
        <w:rPr>
          <w:sz w:val="28"/>
          <w:szCs w:val="28"/>
          <w:lang w:val="lv-LV"/>
        </w:rPr>
        <w:tab/>
      </w:r>
      <w:r w:rsidR="002C7656" w:rsidRPr="00720BD8">
        <w:rPr>
          <w:sz w:val="28"/>
          <w:szCs w:val="28"/>
          <w:lang w:val="lv-LV"/>
        </w:rPr>
        <w:tab/>
      </w:r>
      <w:r w:rsidR="002C7656" w:rsidRPr="00720BD8">
        <w:rPr>
          <w:sz w:val="28"/>
          <w:szCs w:val="28"/>
          <w:lang w:val="lv-LV"/>
        </w:rPr>
        <w:tab/>
      </w:r>
      <w:r w:rsidR="002C7656" w:rsidRPr="00720BD8">
        <w:rPr>
          <w:sz w:val="28"/>
          <w:szCs w:val="28"/>
          <w:lang w:val="lv-LV"/>
        </w:rPr>
        <w:tab/>
      </w:r>
      <w:r w:rsidR="00FE75C7" w:rsidRPr="00FE75C7">
        <w:rPr>
          <w:sz w:val="28"/>
          <w:szCs w:val="28"/>
          <w:lang w:val="lv-LV"/>
        </w:rPr>
        <w:t>R. Aleksejenko</w:t>
      </w:r>
      <w:bookmarkStart w:id="5" w:name="_GoBack"/>
      <w:bookmarkEnd w:id="5"/>
    </w:p>
    <w:p w14:paraId="476669B1" w14:textId="77777777" w:rsidR="009D73EF" w:rsidRDefault="009D73EF" w:rsidP="00EF722B">
      <w:pPr>
        <w:rPr>
          <w:szCs w:val="28"/>
        </w:rPr>
      </w:pPr>
    </w:p>
    <w:p w14:paraId="62880FB0" w14:textId="77777777" w:rsidR="008E32C5" w:rsidRDefault="008E32C5" w:rsidP="00EF722B">
      <w:pPr>
        <w:rPr>
          <w:szCs w:val="28"/>
        </w:rPr>
      </w:pPr>
    </w:p>
    <w:p w14:paraId="18CEB6BF" w14:textId="77777777" w:rsidR="008E32C5" w:rsidRPr="009E7A22" w:rsidRDefault="008E32C5" w:rsidP="00EF722B">
      <w:pPr>
        <w:rPr>
          <w:szCs w:val="28"/>
        </w:rPr>
      </w:pPr>
    </w:p>
    <w:p w14:paraId="3EF19447" w14:textId="77777777" w:rsidR="00EF722B" w:rsidRPr="009E7A22" w:rsidRDefault="00EF722B" w:rsidP="00EF722B">
      <w:pPr>
        <w:rPr>
          <w:szCs w:val="28"/>
        </w:rPr>
      </w:pPr>
    </w:p>
    <w:p w14:paraId="54D22DA0" w14:textId="572CF7DA" w:rsidR="00EF722B" w:rsidRPr="009E7A22" w:rsidRDefault="00EF722B" w:rsidP="00EF722B">
      <w:pPr>
        <w:rPr>
          <w:sz w:val="20"/>
        </w:rPr>
      </w:pPr>
      <w:r w:rsidRPr="009E7A22">
        <w:rPr>
          <w:sz w:val="20"/>
        </w:rPr>
        <w:fldChar w:fldCharType="begin"/>
      </w:r>
      <w:r w:rsidRPr="009E7A22">
        <w:rPr>
          <w:sz w:val="20"/>
        </w:rPr>
        <w:instrText xml:space="preserve"> DATE  \@ "dd.MM.yyyy HH:mm"  \* MERGEFORMAT </w:instrText>
      </w:r>
      <w:r w:rsidRPr="009E7A22">
        <w:rPr>
          <w:sz w:val="20"/>
        </w:rPr>
        <w:fldChar w:fldCharType="separate"/>
      </w:r>
      <w:r w:rsidR="00FE75C7">
        <w:rPr>
          <w:noProof/>
          <w:sz w:val="20"/>
        </w:rPr>
        <w:t>19.05.2015 16:20</w:t>
      </w:r>
      <w:r w:rsidRPr="009E7A22">
        <w:rPr>
          <w:sz w:val="20"/>
        </w:rPr>
        <w:fldChar w:fldCharType="end"/>
      </w:r>
    </w:p>
    <w:p w14:paraId="1E2D380E" w14:textId="77777777" w:rsidR="00EF722B" w:rsidRDefault="00EF722B" w:rsidP="00EF722B">
      <w:pPr>
        <w:rPr>
          <w:noProof/>
          <w:sz w:val="20"/>
        </w:rPr>
      </w:pPr>
      <w:r w:rsidRPr="009E7A22">
        <w:rPr>
          <w:sz w:val="20"/>
        </w:rPr>
        <w:fldChar w:fldCharType="begin"/>
      </w:r>
      <w:r w:rsidRPr="009E7A22">
        <w:rPr>
          <w:sz w:val="20"/>
        </w:rPr>
        <w:instrText xml:space="preserve"> NUMWORDS   \* MERGEFORMAT </w:instrText>
      </w:r>
      <w:r w:rsidRPr="009E7A22">
        <w:rPr>
          <w:sz w:val="20"/>
        </w:rPr>
        <w:fldChar w:fldCharType="separate"/>
      </w:r>
      <w:r w:rsidR="00FE75C7">
        <w:rPr>
          <w:noProof/>
          <w:sz w:val="20"/>
        </w:rPr>
        <w:t>871</w:t>
      </w:r>
      <w:r w:rsidRPr="009E7A22">
        <w:rPr>
          <w:noProof/>
          <w:sz w:val="20"/>
        </w:rPr>
        <w:fldChar w:fldCharType="end"/>
      </w:r>
    </w:p>
    <w:p w14:paraId="47CC3E43" w14:textId="77777777" w:rsidR="00EF722B" w:rsidRPr="009E7A22" w:rsidRDefault="00EF722B" w:rsidP="00EF722B">
      <w:pPr>
        <w:rPr>
          <w:sz w:val="20"/>
        </w:rPr>
      </w:pPr>
      <w:r w:rsidRPr="009E7A22">
        <w:rPr>
          <w:sz w:val="20"/>
        </w:rPr>
        <w:t>Lazarevs,</w:t>
      </w:r>
    </w:p>
    <w:p w14:paraId="017D6DA1" w14:textId="77777777" w:rsidR="00405F26" w:rsidRPr="00CA1EEC" w:rsidRDefault="00EF722B" w:rsidP="00EF722B">
      <w:pPr>
        <w:rPr>
          <w:sz w:val="20"/>
          <w:lang w:val="lv-LV"/>
        </w:rPr>
      </w:pPr>
      <w:r w:rsidRPr="009E7A22">
        <w:rPr>
          <w:sz w:val="20"/>
        </w:rPr>
        <w:t xml:space="preserve">67013035, </w:t>
      </w:r>
      <w:r w:rsidRPr="004F09C0">
        <w:rPr>
          <w:sz w:val="20"/>
        </w:rPr>
        <w:t>Andris.Lazarevs@em.gov.lv</w:t>
      </w:r>
    </w:p>
    <w:sectPr w:rsidR="00405F26" w:rsidRPr="00CA1EEC" w:rsidSect="00FD2D53">
      <w:headerReference w:type="default" r:id="rId8"/>
      <w:footerReference w:type="default" r:id="rId9"/>
      <w:footerReference w:type="first" r:id="rId10"/>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B6E13" w14:textId="77777777" w:rsidR="004A284E" w:rsidRDefault="004A284E" w:rsidP="00D67C5B">
      <w:r>
        <w:separator/>
      </w:r>
    </w:p>
  </w:endnote>
  <w:endnote w:type="continuationSeparator" w:id="0">
    <w:p w14:paraId="10996850" w14:textId="77777777" w:rsidR="004A284E" w:rsidRDefault="004A284E" w:rsidP="00D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43C5" w14:textId="24991DEF" w:rsidR="00727BC6" w:rsidRPr="00EF722B" w:rsidRDefault="00EF722B" w:rsidP="00EF722B">
    <w:pPr>
      <w:jc w:val="both"/>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FE75C7" w:rsidRPr="00FE75C7">
      <w:rPr>
        <w:noProof/>
        <w:sz w:val="20"/>
        <w:lang w:val="lv-LV"/>
      </w:rPr>
      <w:t>EManot_190515_LBN</w:t>
    </w:r>
    <w:r w:rsidR="00FE75C7">
      <w:rPr>
        <w:noProof/>
        <w:sz w:val="20"/>
        <w:lang w:val="de-DE"/>
      </w:rPr>
      <w:t xml:space="preserve"> 261</w:t>
    </w:r>
    <w:r w:rsidRPr="00554C82">
      <w:rPr>
        <w:noProof/>
        <w:sz w:val="20"/>
      </w:rPr>
      <w:fldChar w:fldCharType="end"/>
    </w:r>
    <w:r w:rsidRPr="00554C82">
      <w:rPr>
        <w:sz w:val="20"/>
        <w:lang w:val="lv-LV"/>
      </w:rPr>
      <w:t xml:space="preserve">; </w:t>
    </w:r>
    <w:r w:rsidRPr="00EF722B">
      <w:rPr>
        <w:sz w:val="20"/>
        <w:lang w:val="lv-LV"/>
      </w:rPr>
      <w:t>Mini</w:t>
    </w:r>
    <w:r>
      <w:rPr>
        <w:sz w:val="20"/>
        <w:lang w:val="lv-LV"/>
      </w:rPr>
      <w:t>stru kabineta noteikumu projekta</w:t>
    </w:r>
    <w:r w:rsidRPr="00EF722B">
      <w:rPr>
        <w:sz w:val="20"/>
        <w:lang w:val="lv-LV"/>
      </w:rPr>
      <w:t xml:space="preserve"> „Noteikumi par Latvijas būvnormatīvu LBN</w:t>
    </w:r>
    <w:r w:rsidR="00F9274C">
      <w:rPr>
        <w:sz w:val="20"/>
        <w:lang w:val="lv-LV"/>
      </w:rPr>
      <w:t xml:space="preserve"> </w:t>
    </w:r>
    <w:r w:rsidRPr="00EF722B">
      <w:rPr>
        <w:sz w:val="20"/>
        <w:lang w:val="lv-LV"/>
      </w:rPr>
      <w:t>261-15 „Ēku iekšējā elektroinstalācija””</w:t>
    </w:r>
    <w:r>
      <w:rPr>
        <w:sz w:val="20"/>
        <w:lang w:val="lv-LV"/>
      </w:rPr>
      <w:t xml:space="preserve"> </w:t>
    </w:r>
    <w:r w:rsidRPr="00554C82">
      <w:rPr>
        <w:sz w:val="20"/>
        <w:lang w:val="lv-LV"/>
      </w:rPr>
      <w:t xml:space="preserve">sākotnējās ietekmes novērtējuma </w:t>
    </w:r>
    <w:smartTag w:uri="schemas-tilde-lv/tildestengine" w:element="veidnes">
      <w:smartTagPr>
        <w:attr w:name="text" w:val="ziņojums"/>
        <w:attr w:name="baseform" w:val="ziņojums"/>
        <w:attr w:name="id" w:val="-1"/>
      </w:smartTagPr>
      <w:r w:rsidRPr="00554C82">
        <w:rPr>
          <w:sz w:val="20"/>
          <w:lang w:val="lv-LV"/>
        </w:rPr>
        <w:t>ziņojums</w:t>
      </w:r>
    </w:smartTag>
    <w:r w:rsidRPr="00554C82">
      <w:rPr>
        <w:sz w:val="20"/>
        <w:lang w:val="lv-LV"/>
      </w:rPr>
      <w:t xml:space="preserve"> (</w:t>
    </w:r>
    <w:r w:rsidRPr="00554C82">
      <w:rPr>
        <w:bCs/>
        <w:sz w:val="20"/>
        <w:lang w:val="lv-LV"/>
      </w:rPr>
      <w:t>anotācija)</w:t>
    </w:r>
    <w:r>
      <w:rPr>
        <w:bCs/>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2D57" w14:textId="009661C8" w:rsidR="00727BC6" w:rsidRPr="00EE3404" w:rsidRDefault="00C506A5" w:rsidP="00EE3404">
    <w:pPr>
      <w:jc w:val="both"/>
      <w:rPr>
        <w:sz w:val="20"/>
        <w:lang w:val="lv-LV"/>
      </w:rPr>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FE75C7" w:rsidRPr="00FE75C7">
      <w:rPr>
        <w:noProof/>
        <w:sz w:val="20"/>
        <w:lang w:val="lv-LV"/>
      </w:rPr>
      <w:t>EManot_190515_LBN</w:t>
    </w:r>
    <w:r w:rsidR="00FE75C7">
      <w:rPr>
        <w:noProof/>
        <w:sz w:val="20"/>
        <w:lang w:val="de-DE"/>
      </w:rPr>
      <w:t xml:space="preserve"> 261</w:t>
    </w:r>
    <w:r w:rsidRPr="00554C82">
      <w:rPr>
        <w:noProof/>
        <w:sz w:val="20"/>
      </w:rPr>
      <w:fldChar w:fldCharType="end"/>
    </w:r>
    <w:r w:rsidR="00397953" w:rsidRPr="00554C82">
      <w:rPr>
        <w:sz w:val="20"/>
        <w:lang w:val="lv-LV"/>
      </w:rPr>
      <w:t xml:space="preserve">; </w:t>
    </w:r>
    <w:r w:rsidR="00EF722B" w:rsidRPr="00EF722B">
      <w:rPr>
        <w:sz w:val="20"/>
        <w:lang w:val="lv-LV"/>
      </w:rPr>
      <w:t>Mini</w:t>
    </w:r>
    <w:r w:rsidR="00EF722B">
      <w:rPr>
        <w:sz w:val="20"/>
        <w:lang w:val="lv-LV"/>
      </w:rPr>
      <w:t>stru kabineta noteikumu projekta</w:t>
    </w:r>
    <w:r w:rsidR="00EF722B" w:rsidRPr="00EF722B">
      <w:rPr>
        <w:sz w:val="20"/>
        <w:lang w:val="lv-LV"/>
      </w:rPr>
      <w:t xml:space="preserve"> „Noteikumi par Latvijas būvnormatīvu LBN</w:t>
    </w:r>
    <w:r w:rsidR="00F9274C">
      <w:rPr>
        <w:sz w:val="20"/>
        <w:lang w:val="lv-LV"/>
      </w:rPr>
      <w:t xml:space="preserve"> </w:t>
    </w:r>
    <w:r w:rsidR="00EF722B" w:rsidRPr="00EF722B">
      <w:rPr>
        <w:sz w:val="20"/>
        <w:lang w:val="lv-LV"/>
      </w:rPr>
      <w:t>261-15 „Ēku iekšējā elektroinstalācija””</w:t>
    </w:r>
    <w:r w:rsidR="00EF722B">
      <w:rPr>
        <w:sz w:val="20"/>
        <w:lang w:val="lv-LV"/>
      </w:rPr>
      <w:t xml:space="preserve"> </w:t>
    </w:r>
    <w:r w:rsidR="00554C82" w:rsidRPr="00554C82">
      <w:rPr>
        <w:sz w:val="20"/>
        <w:lang w:val="lv-LV"/>
      </w:rPr>
      <w:t xml:space="preserve">sākotnējās ietekmes novērtējuma </w:t>
    </w:r>
    <w:smartTag w:uri="schemas-tilde-lv/tildestengine" w:element="veidnes">
      <w:smartTagPr>
        <w:attr w:name="text" w:val="ziņojums"/>
        <w:attr w:name="baseform" w:val="ziņojums"/>
        <w:attr w:name="id" w:val="-1"/>
      </w:smartTagPr>
      <w:r w:rsidR="00554C82" w:rsidRPr="00554C82">
        <w:rPr>
          <w:sz w:val="20"/>
          <w:lang w:val="lv-LV"/>
        </w:rPr>
        <w:t>ziņojums</w:t>
      </w:r>
    </w:smartTag>
    <w:r w:rsidR="00554C82" w:rsidRPr="00554C82">
      <w:rPr>
        <w:sz w:val="20"/>
        <w:lang w:val="lv-LV"/>
      </w:rPr>
      <w:t xml:space="preserve"> (</w:t>
    </w:r>
    <w:r w:rsidR="00554C82" w:rsidRPr="00554C82">
      <w:rPr>
        <w:bCs/>
        <w:sz w:val="20"/>
        <w:lang w:val="lv-LV"/>
      </w:rPr>
      <w:t>anotācija)</w:t>
    </w:r>
    <w:r w:rsidR="00EF722B">
      <w:rPr>
        <w:bCs/>
        <w:sz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6660F" w14:textId="77777777" w:rsidR="004A284E" w:rsidRDefault="004A284E" w:rsidP="00D67C5B">
      <w:r>
        <w:separator/>
      </w:r>
    </w:p>
  </w:footnote>
  <w:footnote w:type="continuationSeparator" w:id="0">
    <w:p w14:paraId="085EF086" w14:textId="77777777" w:rsidR="004A284E" w:rsidRDefault="004A284E" w:rsidP="00D6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66FB" w14:textId="77777777" w:rsidR="00727BC6" w:rsidRDefault="00880A00">
    <w:pPr>
      <w:pStyle w:val="Header"/>
      <w:jc w:val="center"/>
      <w:rPr>
        <w:sz w:val="24"/>
      </w:rPr>
    </w:pPr>
    <w:r>
      <w:rPr>
        <w:sz w:val="24"/>
      </w:rPr>
      <w:fldChar w:fldCharType="begin"/>
    </w:r>
    <w:r w:rsidR="00397953">
      <w:rPr>
        <w:sz w:val="24"/>
      </w:rPr>
      <w:instrText xml:space="preserve"> PAGE   \* MERGEFORMAT </w:instrText>
    </w:r>
    <w:r>
      <w:rPr>
        <w:sz w:val="24"/>
      </w:rPr>
      <w:fldChar w:fldCharType="separate"/>
    </w:r>
    <w:r w:rsidR="00FE75C7">
      <w:rPr>
        <w:noProof/>
        <w:sz w:val="24"/>
      </w:rPr>
      <w:t>3</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6C1"/>
    <w:multiLevelType w:val="hybridMultilevel"/>
    <w:tmpl w:val="A1167942"/>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 w15:restartNumberingAfterBreak="0">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45"/>
    <w:rsid w:val="0000407E"/>
    <w:rsid w:val="0001693A"/>
    <w:rsid w:val="000421A9"/>
    <w:rsid w:val="00045666"/>
    <w:rsid w:val="00056108"/>
    <w:rsid w:val="00067B4A"/>
    <w:rsid w:val="0008323A"/>
    <w:rsid w:val="00083FEE"/>
    <w:rsid w:val="00090F9E"/>
    <w:rsid w:val="000A2718"/>
    <w:rsid w:val="000B3F54"/>
    <w:rsid w:val="000D4529"/>
    <w:rsid w:val="000E236B"/>
    <w:rsid w:val="000E2F9B"/>
    <w:rsid w:val="000F3486"/>
    <w:rsid w:val="00102A75"/>
    <w:rsid w:val="0011184E"/>
    <w:rsid w:val="00116151"/>
    <w:rsid w:val="001214CA"/>
    <w:rsid w:val="00121BFD"/>
    <w:rsid w:val="00134A1B"/>
    <w:rsid w:val="001502AC"/>
    <w:rsid w:val="00152866"/>
    <w:rsid w:val="00165A29"/>
    <w:rsid w:val="001A0B46"/>
    <w:rsid w:val="001B00AD"/>
    <w:rsid w:val="001B1B2C"/>
    <w:rsid w:val="001B51FA"/>
    <w:rsid w:val="001B5B02"/>
    <w:rsid w:val="001E35CC"/>
    <w:rsid w:val="001F6ABB"/>
    <w:rsid w:val="00202544"/>
    <w:rsid w:val="00210435"/>
    <w:rsid w:val="00222F62"/>
    <w:rsid w:val="00281AA6"/>
    <w:rsid w:val="002862C6"/>
    <w:rsid w:val="002B51C2"/>
    <w:rsid w:val="002C7656"/>
    <w:rsid w:val="002D1F25"/>
    <w:rsid w:val="002E22DD"/>
    <w:rsid w:val="00323013"/>
    <w:rsid w:val="00340ECD"/>
    <w:rsid w:val="00344148"/>
    <w:rsid w:val="003444A9"/>
    <w:rsid w:val="003451F8"/>
    <w:rsid w:val="00345397"/>
    <w:rsid w:val="00352FFE"/>
    <w:rsid w:val="00366A5B"/>
    <w:rsid w:val="00377A60"/>
    <w:rsid w:val="00377AB1"/>
    <w:rsid w:val="00397953"/>
    <w:rsid w:val="003A50AC"/>
    <w:rsid w:val="003B18F8"/>
    <w:rsid w:val="003E0046"/>
    <w:rsid w:val="003E75E0"/>
    <w:rsid w:val="003F68E1"/>
    <w:rsid w:val="00405F26"/>
    <w:rsid w:val="0043104F"/>
    <w:rsid w:val="00446178"/>
    <w:rsid w:val="004551B5"/>
    <w:rsid w:val="004579C9"/>
    <w:rsid w:val="00462559"/>
    <w:rsid w:val="004658B2"/>
    <w:rsid w:val="00477AED"/>
    <w:rsid w:val="00496B5D"/>
    <w:rsid w:val="004A01F9"/>
    <w:rsid w:val="004A284E"/>
    <w:rsid w:val="004A56A5"/>
    <w:rsid w:val="004B3BE3"/>
    <w:rsid w:val="004C1C96"/>
    <w:rsid w:val="004C7DEA"/>
    <w:rsid w:val="004D0634"/>
    <w:rsid w:val="004E05C0"/>
    <w:rsid w:val="004E393B"/>
    <w:rsid w:val="004E45A2"/>
    <w:rsid w:val="005026B9"/>
    <w:rsid w:val="00520001"/>
    <w:rsid w:val="00524F8D"/>
    <w:rsid w:val="00531B44"/>
    <w:rsid w:val="005358E8"/>
    <w:rsid w:val="00554C82"/>
    <w:rsid w:val="005636C2"/>
    <w:rsid w:val="005761CE"/>
    <w:rsid w:val="00591052"/>
    <w:rsid w:val="00593079"/>
    <w:rsid w:val="005B28FA"/>
    <w:rsid w:val="005B5768"/>
    <w:rsid w:val="005D1EE6"/>
    <w:rsid w:val="005D785F"/>
    <w:rsid w:val="005E79AF"/>
    <w:rsid w:val="0060490E"/>
    <w:rsid w:val="00605028"/>
    <w:rsid w:val="006109A9"/>
    <w:rsid w:val="00637163"/>
    <w:rsid w:val="006478FC"/>
    <w:rsid w:val="00651849"/>
    <w:rsid w:val="00657F7A"/>
    <w:rsid w:val="006641FE"/>
    <w:rsid w:val="00665D97"/>
    <w:rsid w:val="00674C8C"/>
    <w:rsid w:val="00677E3B"/>
    <w:rsid w:val="0069333F"/>
    <w:rsid w:val="006A7FBC"/>
    <w:rsid w:val="006B5945"/>
    <w:rsid w:val="006B65FD"/>
    <w:rsid w:val="006C364B"/>
    <w:rsid w:val="006E1C3A"/>
    <w:rsid w:val="006E7EC2"/>
    <w:rsid w:val="00704199"/>
    <w:rsid w:val="00711831"/>
    <w:rsid w:val="00720BD8"/>
    <w:rsid w:val="007425DC"/>
    <w:rsid w:val="0075550C"/>
    <w:rsid w:val="007573CA"/>
    <w:rsid w:val="00761350"/>
    <w:rsid w:val="00761BAC"/>
    <w:rsid w:val="00777868"/>
    <w:rsid w:val="007E099F"/>
    <w:rsid w:val="007E1684"/>
    <w:rsid w:val="007E25C6"/>
    <w:rsid w:val="007E6CB1"/>
    <w:rsid w:val="007F4C90"/>
    <w:rsid w:val="00800732"/>
    <w:rsid w:val="008226C4"/>
    <w:rsid w:val="00823705"/>
    <w:rsid w:val="00823F99"/>
    <w:rsid w:val="00837863"/>
    <w:rsid w:val="008468DE"/>
    <w:rsid w:val="00857553"/>
    <w:rsid w:val="00872023"/>
    <w:rsid w:val="00877C4B"/>
    <w:rsid w:val="00880A00"/>
    <w:rsid w:val="00882A82"/>
    <w:rsid w:val="008B05C1"/>
    <w:rsid w:val="008C682C"/>
    <w:rsid w:val="008E15AC"/>
    <w:rsid w:val="008E32C5"/>
    <w:rsid w:val="008F29B8"/>
    <w:rsid w:val="008F42BF"/>
    <w:rsid w:val="00901EB2"/>
    <w:rsid w:val="00903340"/>
    <w:rsid w:val="00907CCE"/>
    <w:rsid w:val="00915E1B"/>
    <w:rsid w:val="009229F0"/>
    <w:rsid w:val="009323A6"/>
    <w:rsid w:val="00933E41"/>
    <w:rsid w:val="00945A39"/>
    <w:rsid w:val="00950C53"/>
    <w:rsid w:val="00951309"/>
    <w:rsid w:val="00953126"/>
    <w:rsid w:val="009539AC"/>
    <w:rsid w:val="00963803"/>
    <w:rsid w:val="009711E6"/>
    <w:rsid w:val="00972EA8"/>
    <w:rsid w:val="009801D3"/>
    <w:rsid w:val="009801F3"/>
    <w:rsid w:val="00993D12"/>
    <w:rsid w:val="009A67F6"/>
    <w:rsid w:val="009C7702"/>
    <w:rsid w:val="009D6DB6"/>
    <w:rsid w:val="009D73EF"/>
    <w:rsid w:val="009E3F40"/>
    <w:rsid w:val="009E7977"/>
    <w:rsid w:val="00A67966"/>
    <w:rsid w:val="00A732DC"/>
    <w:rsid w:val="00A93F52"/>
    <w:rsid w:val="00AA5BBA"/>
    <w:rsid w:val="00AD255A"/>
    <w:rsid w:val="00AD410A"/>
    <w:rsid w:val="00AF38AB"/>
    <w:rsid w:val="00B01BBA"/>
    <w:rsid w:val="00B060D5"/>
    <w:rsid w:val="00B326D8"/>
    <w:rsid w:val="00B5774C"/>
    <w:rsid w:val="00B6207C"/>
    <w:rsid w:val="00B63E12"/>
    <w:rsid w:val="00B64592"/>
    <w:rsid w:val="00B64A88"/>
    <w:rsid w:val="00B72B5E"/>
    <w:rsid w:val="00B90E2B"/>
    <w:rsid w:val="00BB0512"/>
    <w:rsid w:val="00BC5094"/>
    <w:rsid w:val="00BD68E8"/>
    <w:rsid w:val="00BF0F20"/>
    <w:rsid w:val="00BF6C40"/>
    <w:rsid w:val="00C033BA"/>
    <w:rsid w:val="00C2565A"/>
    <w:rsid w:val="00C30F02"/>
    <w:rsid w:val="00C3592E"/>
    <w:rsid w:val="00C44486"/>
    <w:rsid w:val="00C506A5"/>
    <w:rsid w:val="00C653BF"/>
    <w:rsid w:val="00C75EC4"/>
    <w:rsid w:val="00C7634D"/>
    <w:rsid w:val="00C87CF6"/>
    <w:rsid w:val="00CA1EEC"/>
    <w:rsid w:val="00CA6A8D"/>
    <w:rsid w:val="00CB1045"/>
    <w:rsid w:val="00CB2247"/>
    <w:rsid w:val="00CD248D"/>
    <w:rsid w:val="00CD5814"/>
    <w:rsid w:val="00D11810"/>
    <w:rsid w:val="00D14598"/>
    <w:rsid w:val="00D56F0B"/>
    <w:rsid w:val="00D61E90"/>
    <w:rsid w:val="00D67C5B"/>
    <w:rsid w:val="00D74381"/>
    <w:rsid w:val="00D813D1"/>
    <w:rsid w:val="00D86590"/>
    <w:rsid w:val="00D97FDA"/>
    <w:rsid w:val="00DC7450"/>
    <w:rsid w:val="00DF1280"/>
    <w:rsid w:val="00E0499D"/>
    <w:rsid w:val="00E079CE"/>
    <w:rsid w:val="00E26431"/>
    <w:rsid w:val="00E300C6"/>
    <w:rsid w:val="00E67A92"/>
    <w:rsid w:val="00E7701E"/>
    <w:rsid w:val="00E846F7"/>
    <w:rsid w:val="00E85757"/>
    <w:rsid w:val="00EA151E"/>
    <w:rsid w:val="00EB0FC7"/>
    <w:rsid w:val="00EC00BF"/>
    <w:rsid w:val="00EC0767"/>
    <w:rsid w:val="00EF36D4"/>
    <w:rsid w:val="00EF722B"/>
    <w:rsid w:val="00F04374"/>
    <w:rsid w:val="00F04C47"/>
    <w:rsid w:val="00F2402A"/>
    <w:rsid w:val="00F31531"/>
    <w:rsid w:val="00F376A5"/>
    <w:rsid w:val="00F3792B"/>
    <w:rsid w:val="00F45266"/>
    <w:rsid w:val="00F45B83"/>
    <w:rsid w:val="00F87A29"/>
    <w:rsid w:val="00F9274C"/>
    <w:rsid w:val="00FA7F58"/>
    <w:rsid w:val="00FC08D1"/>
    <w:rsid w:val="00FE75C7"/>
    <w:rsid w:val="00FF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14A41FF"/>
  <w15:docId w15:val="{E413C505-CC9C-403E-B83C-49FA8995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45"/>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CB1045"/>
    <w:pPr>
      <w:keepNext/>
      <w:ind w:left="709" w:right="-427" w:hanging="709"/>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5"/>
    <w:rPr>
      <w:rFonts w:ascii="Times New Roman" w:eastAsia="Times New Roman" w:hAnsi="Times New Roman" w:cs="Times New Roman"/>
      <w:sz w:val="28"/>
      <w:szCs w:val="20"/>
      <w:lang w:eastAsia="lv-LV"/>
    </w:rPr>
  </w:style>
  <w:style w:type="paragraph" w:customStyle="1" w:styleId="naisf">
    <w:name w:val="naisf"/>
    <w:basedOn w:val="Normal"/>
    <w:rsid w:val="00CB1045"/>
    <w:pPr>
      <w:spacing w:before="100" w:after="100"/>
    </w:pPr>
    <w:rPr>
      <w:lang w:val="lv-LV"/>
    </w:rPr>
  </w:style>
  <w:style w:type="paragraph" w:styleId="Header">
    <w:name w:val="header"/>
    <w:basedOn w:val="Normal"/>
    <w:link w:val="HeaderChar"/>
    <w:uiPriority w:val="99"/>
    <w:rsid w:val="00CB104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CB1045"/>
    <w:rPr>
      <w:rFonts w:ascii="Times New Roman" w:eastAsia="Times New Roman" w:hAnsi="Times New Roman" w:cs="Times New Roman"/>
      <w:szCs w:val="20"/>
      <w:lang w:eastAsia="lv-LV"/>
    </w:rPr>
  </w:style>
  <w:style w:type="character" w:styleId="Strong">
    <w:name w:val="Strong"/>
    <w:basedOn w:val="DefaultParagraphFont"/>
    <w:qFormat/>
    <w:rsid w:val="00CB1045"/>
    <w:rPr>
      <w:b/>
    </w:rPr>
  </w:style>
  <w:style w:type="character" w:styleId="Hyperlink">
    <w:name w:val="Hyperlink"/>
    <w:basedOn w:val="DefaultParagraphFont"/>
    <w:semiHidden/>
    <w:rsid w:val="00CB1045"/>
    <w:rPr>
      <w:color w:val="0000FF"/>
      <w:u w:val="single"/>
    </w:rPr>
  </w:style>
  <w:style w:type="paragraph" w:customStyle="1" w:styleId="naiskr">
    <w:name w:val="naiskr"/>
    <w:basedOn w:val="Normal"/>
    <w:rsid w:val="00CB1045"/>
    <w:pPr>
      <w:spacing w:before="75" w:after="75"/>
    </w:pPr>
    <w:rPr>
      <w:szCs w:val="24"/>
      <w:lang w:val="lv-LV"/>
    </w:rPr>
  </w:style>
  <w:style w:type="paragraph" w:customStyle="1" w:styleId="naisnod">
    <w:name w:val="naisnod"/>
    <w:basedOn w:val="Normal"/>
    <w:rsid w:val="00CB1045"/>
    <w:pPr>
      <w:spacing w:before="150" w:after="150"/>
      <w:jc w:val="center"/>
    </w:pPr>
    <w:rPr>
      <w:b/>
      <w:bCs/>
      <w:szCs w:val="24"/>
      <w:lang w:val="lv-LV"/>
    </w:rPr>
  </w:style>
  <w:style w:type="paragraph" w:customStyle="1" w:styleId="naisc">
    <w:name w:val="naisc"/>
    <w:basedOn w:val="Normal"/>
    <w:rsid w:val="00CB1045"/>
    <w:pPr>
      <w:spacing w:before="75" w:after="75"/>
      <w:jc w:val="center"/>
    </w:pPr>
    <w:rPr>
      <w:szCs w:val="24"/>
      <w:lang w:val="lv-LV"/>
    </w:rPr>
  </w:style>
  <w:style w:type="paragraph" w:styleId="Footer">
    <w:name w:val="footer"/>
    <w:basedOn w:val="Normal"/>
    <w:link w:val="FooterChar"/>
    <w:uiPriority w:val="99"/>
    <w:unhideWhenUsed/>
    <w:rsid w:val="00D67C5B"/>
    <w:pPr>
      <w:tabs>
        <w:tab w:val="center" w:pos="4153"/>
        <w:tab w:val="right" w:pos="8306"/>
      </w:tabs>
    </w:pPr>
  </w:style>
  <w:style w:type="character" w:customStyle="1" w:styleId="FooterChar">
    <w:name w:val="Footer Char"/>
    <w:basedOn w:val="DefaultParagraphFont"/>
    <w:link w:val="Footer"/>
    <w:uiPriority w:val="99"/>
    <w:rsid w:val="00D67C5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945A39"/>
    <w:rPr>
      <w:rFonts w:ascii="Tahoma" w:hAnsi="Tahoma" w:cs="Tahoma"/>
      <w:sz w:val="16"/>
      <w:szCs w:val="16"/>
    </w:rPr>
  </w:style>
  <w:style w:type="character" w:customStyle="1" w:styleId="BalloonTextChar">
    <w:name w:val="Balloon Text Char"/>
    <w:basedOn w:val="DefaultParagraphFont"/>
    <w:link w:val="BalloonText"/>
    <w:uiPriority w:val="99"/>
    <w:semiHidden/>
    <w:rsid w:val="00945A39"/>
    <w:rPr>
      <w:rFonts w:ascii="Tahoma" w:eastAsia="Times New Roman" w:hAnsi="Tahoma" w:cs="Tahoma"/>
      <w:sz w:val="16"/>
      <w:szCs w:val="16"/>
      <w:lang w:val="en-AU" w:eastAsia="lv-LV"/>
    </w:rPr>
  </w:style>
  <w:style w:type="paragraph" w:customStyle="1" w:styleId="StyleRight">
    <w:name w:val="Style Right"/>
    <w:basedOn w:val="Normal"/>
    <w:rsid w:val="00281AA6"/>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4551B5"/>
    <w:rPr>
      <w:sz w:val="16"/>
      <w:szCs w:val="16"/>
    </w:rPr>
  </w:style>
  <w:style w:type="paragraph" w:styleId="CommentText">
    <w:name w:val="annotation text"/>
    <w:basedOn w:val="Normal"/>
    <w:link w:val="CommentTextChar"/>
    <w:uiPriority w:val="99"/>
    <w:semiHidden/>
    <w:unhideWhenUsed/>
    <w:rsid w:val="004551B5"/>
    <w:rPr>
      <w:sz w:val="20"/>
    </w:rPr>
  </w:style>
  <w:style w:type="character" w:customStyle="1" w:styleId="CommentTextChar">
    <w:name w:val="Comment Text Char"/>
    <w:basedOn w:val="DefaultParagraphFont"/>
    <w:link w:val="CommentText"/>
    <w:uiPriority w:val="99"/>
    <w:semiHidden/>
    <w:rsid w:val="004551B5"/>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4551B5"/>
    <w:rPr>
      <w:b/>
      <w:bCs/>
    </w:rPr>
  </w:style>
  <w:style w:type="character" w:customStyle="1" w:styleId="CommentSubjectChar">
    <w:name w:val="Comment Subject Char"/>
    <w:basedOn w:val="CommentTextChar"/>
    <w:link w:val="CommentSubject"/>
    <w:uiPriority w:val="99"/>
    <w:semiHidden/>
    <w:rsid w:val="004551B5"/>
    <w:rPr>
      <w:rFonts w:ascii="Times New Roman" w:eastAsia="Times New Roman" w:hAnsi="Times New Roman" w:cs="Times New Roman"/>
      <w:b/>
      <w:bCs/>
      <w:sz w:val="20"/>
      <w:szCs w:val="20"/>
      <w:lang w:val="en-AU" w:eastAsia="lv-LV"/>
    </w:rPr>
  </w:style>
  <w:style w:type="paragraph" w:styleId="Revision">
    <w:name w:val="Revision"/>
    <w:hidden/>
    <w:uiPriority w:val="99"/>
    <w:semiHidden/>
    <w:rsid w:val="00F376A5"/>
    <w:pPr>
      <w:spacing w:after="0" w:line="240" w:lineRule="auto"/>
    </w:pPr>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6684">
      <w:bodyDiv w:val="1"/>
      <w:marLeft w:val="0"/>
      <w:marRight w:val="0"/>
      <w:marTop w:val="0"/>
      <w:marBottom w:val="0"/>
      <w:divBdr>
        <w:top w:val="none" w:sz="0" w:space="0" w:color="auto"/>
        <w:left w:val="none" w:sz="0" w:space="0" w:color="auto"/>
        <w:bottom w:val="none" w:sz="0" w:space="0" w:color="auto"/>
        <w:right w:val="none" w:sz="0" w:space="0" w:color="auto"/>
      </w:divBdr>
    </w:div>
    <w:div w:id="836698176">
      <w:bodyDiv w:val="1"/>
      <w:marLeft w:val="0"/>
      <w:marRight w:val="0"/>
      <w:marTop w:val="0"/>
      <w:marBottom w:val="0"/>
      <w:divBdr>
        <w:top w:val="none" w:sz="0" w:space="0" w:color="auto"/>
        <w:left w:val="none" w:sz="0" w:space="0" w:color="auto"/>
        <w:bottom w:val="none" w:sz="0" w:space="0" w:color="auto"/>
        <w:right w:val="none" w:sz="0" w:space="0" w:color="auto"/>
      </w:divBdr>
    </w:div>
    <w:div w:id="953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8A997-10D2-44C8-8F1F-AEEC53CB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886</Words>
  <Characters>6518</Characters>
  <Application>Microsoft Office Word</Application>
  <DocSecurity>0</DocSecurity>
  <Lines>217</Lines>
  <Paragraphs>65</Paragraphs>
  <ScaleCrop>false</ScaleCrop>
  <HeadingPairs>
    <vt:vector size="2" baseType="variant">
      <vt:variant>
        <vt:lpstr>Title</vt:lpstr>
      </vt:variant>
      <vt:variant>
        <vt:i4>1</vt:i4>
      </vt:variant>
    </vt:vector>
  </HeadingPairs>
  <TitlesOfParts>
    <vt:vector size="1" baseType="lpstr">
      <vt:lpstr>Noteikumi par Latvijas būvnormatīvu LBN 310-14 "Darbu veikšanas projekts""</vt:lpstr>
    </vt:vector>
  </TitlesOfParts>
  <Company>LR Ekonomikas ministrija</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310-14 "Darbu veikšanas projekts""</dc:title>
  <dc:subject>Anotācija</dc:subject>
  <dc:creator>Evija Avota</dc:creator>
  <dc:description>67013262,   Evija.Avota@em.gov.lv</dc:description>
  <cp:lastModifiedBy>Andris Lazarevs</cp:lastModifiedBy>
  <cp:revision>45</cp:revision>
  <cp:lastPrinted>2014-07-16T13:40:00Z</cp:lastPrinted>
  <dcterms:created xsi:type="dcterms:W3CDTF">2015-02-20T15:13:00Z</dcterms:created>
  <dcterms:modified xsi:type="dcterms:W3CDTF">2015-05-19T13:21:00Z</dcterms:modified>
</cp:coreProperties>
</file>